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001-42734</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Ten-League International Holdings Limited</w:t>
      </w:r>
    </w:p>
    <w:p>
      <w:pPr>
        <w:spacing w:after="0" w:line="23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 7 Tuas Avenue 2, Singapore 639447</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in the Current Reports on Form 6-K of Ten-League International Holdings Limited (the “Company”) filed with the U.S. Securities and Exchange Commission on September 12, 2025 and March 16, 2026, the Company received a notification letter from the Listing Qualifications staff (the “Staff”) of The Nasdaq Stock Market LLC (“Nasdaq”) on September 9, 2025, notifying the Company that the minimum closing bid price per share for its Class A ordinary shares was below $1.00 for a period of 30 consecutive business days and, as a result, the Company did not meet the minimum bid price requirement as set forth in Nasdaq Listing Rule 5550(a)(2) (the “Bid Price Requirement”). Nasdaq provided the Company with a 180-calendar-day compliance period, or until March 9, 2026, to regain compliance.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10, 2026, the Company received a delist determination from Nasdaq stating that, since the Company had not regained compliance with the Bid Price Requirement by March 9, 2026, the Company’s securities were subject to delisting unless the Company timely requested a hearing before an independent Hearings Panel (the “Panel”). In response to the determination, the Company submitted a hearing request, which stayed any suspension or delisting action at least pending the hearing and the issuance of the Panel decision following the hearing on April 16, 2026.</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12, 2026, the Company received a letter confirming that the Panel had granted the Company’s request for continued listing on Nasdaq on the condition that the Company demonstrate compliance with the Bid Price Requirement by May 15, 2026.</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26, 2026, the Company was formally notified by Nasdaq that the Company had regained compliance with the Bid Price Requirement. The compliance determination further stated that the Company remains subject to a Mandatory Panel Monitor through May 26, 2027. If within the one-year monitor period the Company fails to evidence a closing bid price of $1.00 per share for 30 consecutive business days, the Company will not be afforded a grace period otherwise available under the Nasdaq Listing Rules; rather, Staff will issue a delist determination, at which time the Company may request a new hearing before the Panel. In such event, the Company’s request for a hearing would stay any further suspension or delisting action by the Staff at least pending the Panel hearing and the expiration of any extension period that may be provided by the Panel following the hearing.</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1, 2026, the Company issued a press release announcing that it has regained compliance with the Bid Price Requirement. A copy of the press release is attached hereto as Exhibit 99.1.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 2026, titled “[—]”</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Ten-League International Holdings Limited</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Jison Lim</w:t>
            </w:r>
          </w:p>
        </w:tc>
      </w:tr>
      <w:tr>
        <w:trPr>
          <w:trHeight w:val="191"/>
        </w:trPr>
        <w:tc>
          <w:tcPr>
            <w:tcW w:w="3460" w:type="dxa"/>
            <w:vAlign w:val="bottom"/>
          </w:tcPr>
          <w:p>
            <w:pPr>
              <w:spacing w:after="0"/>
              <w:rPr>
                <w:sz w:val="16"/>
                <w:szCs w:val="16"/>
                <w:color w:val="auto"/>
              </w:rPr>
            </w:pPr>
          </w:p>
        </w:tc>
        <w:tc>
          <w:tcPr>
            <w:tcW w:w="274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Jison Lim</w:t>
            </w:r>
          </w:p>
        </w:tc>
      </w:tr>
      <w:tr>
        <w:trPr>
          <w:trHeight w:val="234"/>
        </w:trPr>
        <w:tc>
          <w:tcPr>
            <w:tcW w:w="3460" w:type="dxa"/>
            <w:vAlign w:val="bottom"/>
          </w:tcPr>
          <w:p>
            <w:pPr>
              <w:spacing w:after="0"/>
              <w:rPr>
                <w:sz w:val="20"/>
                <w:szCs w:val="20"/>
                <w:color w:val="auto"/>
              </w:rPr>
            </w:pP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Chairman</w:t>
            </w:r>
          </w:p>
        </w:tc>
      </w:tr>
      <w:tr>
        <w:trPr>
          <w:trHeight w:val="432"/>
        </w:trPr>
        <w:tc>
          <w:tcPr>
            <w:tcW w:w="3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Ten-League International Holdings Limited Regains Compliance with Nasdaq Bid Price Requirement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June 1, 2026 (GLOBE NEWSWIRE) — Ten-League International Holdings Limited (Nasdaq: TLIH) (the “Company” or “Ten-League”), a Singapore-based provider of turnkey project solutions, today announced that on May 26, 2026, it received a letter (the “Compliance Letter”) from The Nasdaq Stock Market LLC (“Nasdaq”) informing the Company that it has regained compliance with the minimum bid price requirement of $1.00 per share under Nasdaq Listing Rule 5550(a)(2) (the “Minimum Bid Price Rule”).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Compliance Letter further stated that the Company remains subject to a Mandatory Panel Monitor through May 25, 2027. If within the one-year monitor period the Company fails to evidence a closing bid price of $1.00 per share for 30 consecutive business days, the Company will not be afforded a grace period otherwise available under the Nasdaq Listing Rules; rather, the Listing Qualifications staff (the “Staff”) of Nasdaq will issue a delist determination, at which time the Company may request a new hearing before the Hearings Panel (the “Panel”).</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previously disclosed, on March 10, 2026, the Company received a Staff Determination from the Staff stating that the Nasdaq Staff has determined that the Company’s securities would be subject to delisting from The Nasdaq Capital Market as a result of the Company’s non-compliance with the Minimum Bid Price Rule, unless the Company timely requests a hearing before the Panel. Accordingly, the Company timely requested a hearing before the Panel. A hearing on this matter was held on April 16,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12, 2026, the Company received a letter from the Panel that the Panel had granted the Company’s request for continued listing on the condition that the Company demonstrates compliance with the Minimum Bid Price Rule on or before May 15, 2026. The Panel considered the Company’s strong growth in revenue and net income, as well as the Company’s recent contractual arrangement to deliver units of electrical terminal tractors and batteries, and its recent completion and delivery of the first battery substation in Singapore.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Ten-League International Holdings Limited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Ten-League International Holdings Limited is a Singapore-based provider of turnkey project solutions. The Company’s business primarily consists of sales of heavy equipment and parts, heavy equipment rental and provision of engineering consultancy services to port, construction, civil engineering and underground foundation industries. The equipment is organized into four categories based on their functions and application scenarios: foundation equipment, hoist equipment, excavation equipment and port machinery. The Company also provides value-added engineering solutions under engineering consultancy services with the aim to address potential safety issues, enhance reliability and productivity and allow for customers to evaluate the performance of the equipment, the quality of the work completed and the progress of their projects. Ten-League’s mission is to provide high-quality equipment, value-added engineering solutions as well as maintenance and repair through continuous adaptation and application of new technologies. For more information, please visit the Company’s website: </w:t>
      </w:r>
      <w:r>
        <w:rPr>
          <w:rFonts w:ascii="Times New Roman" w:cs="Times New Roman" w:eastAsia="Times New Roman" w:hAnsi="Times New Roman"/>
          <w:sz w:val="18"/>
          <w:szCs w:val="18"/>
          <w:u w:val="single" w:color="auto"/>
          <w:color w:val="auto"/>
        </w:rPr>
        <w:t>https://ir.ten-league.com.sg/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“believe”, “plan”, “expect”, “intend”, “should”, “seek”, “estimate”, “will”, “aim” and “anticipate” or other similar expressions in this press release.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 Readers are cautioned not to place undue reliance on these forward-looking statements and are advised to consider the factors listed above together with the additional factors under the heading “Risk Factors” in the Company’s Annual Reports on Form 20-F, as may be supplemented or amended by the Company’s Reports of a Foreign Private Issuer on Form 6-K.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Ten-League International Holdings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ir@ten-league.com.sg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+1 646-932-7242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investors@ascent-ir.com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2026-06-01T07:02:26Z</dcterms:created>
  <dcterms:modified xsi:type="dcterms:W3CDTF">2026-06-01T07:02:26Z</dcterms:modified>
</cp:coreProperties>
</file>