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001-42734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Ten-League International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w:t>
      </w:r>
      <w:r>
        <w:rPr>
          <w:rFonts w:ascii="Times New Roman;Times;Serif" w:hAnsi="Times New Roman;Times;Serif"/>
          <w:b w:val="false"/>
          <w:i w:val="false"/>
          <w:caps w:val="false"/>
          <w:smallCaps w:val="false"/>
          <w:sz w:val="20"/>
        </w:rPr>
        <w: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Tuas Avenue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639447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2026, Ten-League International Holdings Limited (the “Company”) issued its interim report for the six-month period ended June 30, 2026, which is furnished as Exhibit 99.1 to this Report on Form 6-K. A copy of the press release regarding the interim report is furnished as Exhibit 99.2 to this report on Form 6-K.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0"/>
        <w:gridCol w:w="97"/>
        <w:gridCol w:w="9238"/>
      </w:tblGrid>
      <w:tr>
        <w:trPr/>
        <w:tc>
          <w:tcPr>
            <w:tcW w:w="8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9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8"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Interim Report of Ten-League International Holdings Limited for the six months ended June 30, 2026 (unaudited)</w:t>
              </w:r>
            </w:hyperlink>
          </w:p>
        </w:tc>
      </w:tr>
      <w:tr>
        <w:trPr/>
        <w:tc>
          <w:tcPr>
            <w:tcW w:w="8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99.2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9238"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Press release dated September 30, 2026, titled “Ten-League International Holdings Limited Reports Unaudited Financial Results for the First Six Months of Fiscal Year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89" w:type="dxa"/>
        <w:jc w:val="left"/>
        <w:tblInd w:w="0" w:type="dxa"/>
        <w:tblLayout w:type="fixed"/>
        <w:tblCellMar>
          <w:top w:w="0" w:type="dxa"/>
          <w:left w:w="0" w:type="dxa"/>
          <w:bottom w:w="0" w:type="dxa"/>
          <w:right w:w="0" w:type="dxa"/>
        </w:tblCellMar>
      </w:tblPr>
      <w:tblGrid>
        <w:gridCol w:w="2135"/>
        <w:gridCol w:w="896"/>
        <w:gridCol w:w="2858"/>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30, 2026</w:t>
            </w:r>
          </w:p>
        </w:tc>
        <w:tc>
          <w:tcPr>
            <w:tcW w:w="37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85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5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Jison Lim</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Jison Lim</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Chairman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righ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Announces First Six Months of Fiscal Year 2026 Unaudited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Earnings Results for the six months ended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highlights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net</w:t>
      </w:r>
    </w:p>
    <w:p>
      <w:pPr>
        <w:pStyle w:val="TextBody"/>
        <w:bidi w:val="0"/>
        <w:spacing w:before="0" w:after="0"/>
        <w:ind w:left="0" w:right="0" w:hanging="0"/>
        <w:jc w:val="both"/>
        <w:rPr>
          <w:caps w:val="false"/>
          <w:smallCaps w:val="false"/>
        </w:rPr>
      </w:pPr>
      <w:r>
        <w:rPr>
          <w:caps w:val="false"/>
          <w:smallCaps w:val="false"/>
        </w:rPr>
        <w:t> </w:t>
      </w:r>
    </w:p>
    <w:tbl>
      <w:tblPr>
        <w:tblW w:w="8069" w:type="dxa"/>
        <w:jc w:val="left"/>
        <w:tblInd w:w="0" w:type="dxa"/>
        <w:tblLayout w:type="fixed"/>
        <w:tblCellMar>
          <w:top w:w="0" w:type="dxa"/>
          <w:left w:w="0" w:type="dxa"/>
          <w:bottom w:w="0" w:type="dxa"/>
          <w:right w:w="0" w:type="dxa"/>
        </w:tblCellMar>
      </w:tblPr>
      <w:tblGrid>
        <w:gridCol w:w="3845"/>
        <w:gridCol w:w="60"/>
        <w:gridCol w:w="60"/>
        <w:gridCol w:w="680"/>
        <w:gridCol w:w="60"/>
        <w:gridCol w:w="60"/>
        <w:gridCol w:w="60"/>
        <w:gridCol w:w="560"/>
        <w:gridCol w:w="60"/>
        <w:gridCol w:w="60"/>
        <w:gridCol w:w="60"/>
        <w:gridCol w:w="680"/>
        <w:gridCol w:w="60"/>
        <w:gridCol w:w="60"/>
        <w:gridCol w:w="72"/>
        <w:gridCol w:w="817"/>
        <w:gridCol w:w="60"/>
        <w:gridCol w:w="60"/>
        <w:gridCol w:w="60"/>
        <w:gridCol w:w="560"/>
        <w:gridCol w:w="75"/>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89" w:type="dxa"/>
            <w:gridSpan w:val="18"/>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Sales of heavy equipment and parts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13,974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54.6</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Engineering consultancy service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6,634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25.9</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Rental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4,966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19.5</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37,687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33,095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b/>
              </w:rPr>
            </w:pPr>
            <w:r>
              <w:rPr>
                <w:b/>
              </w:rPr>
              <w:t>25,574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decreased by approximately S$4.6 million or 12.2% to approximately S$33.1 million (US$25.6 million) for the six months ended June 30, 2026 from approximately S$37.7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 decreased by approximately S$12.6 million, or 41.1%, to approximately S$18.1 million (US$14.0 million) for the six months ended June 30, 2026, from approximately S$30.7 million for the six months ended June 30, 2025. The decrease was primarily attributable to contractors’ greater use of rental equipment, delayed fleet replacement after significant fleet expansion over the past two years, and an oversupply of used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 increased by approximately S$7.5 million, or 669.4%, to approximately S$8.6 million (US$6.6 million) for the six months ended June 30, 2026 from approximately S$1.1 million for the six months ended June 30, 2025 mainly due to the delivery and acceptance of 30 electric prime movers (ePM).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increased by approximately S$0.6 million, or 9.9%, to approximately S$6.4 million (US$5.0 million) for the six months ended June 30, 2026 from approximately S$5.8 million for the six months ended June 30, 2025. This increase was primarily attributable to higher rental demands given the economic uncertainty and high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decreased by approximately S$3.7 million or 12.8%, to approximately S$25.1 million (US$19.4 million) for the six months ended June 30, 2026 from approximately S$28.8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sales of heavy equipment and parts decreased by approximately S$10.8 million, or 41.2%, to approximately S$15.4 million (US$11.9 million) for the six months ended June 30, 2025 from approximately S$26.2 million for the six months ended June 30, 2025. This increase was mainly due to lower in sales and product mix.</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of engineering consultancy service income increased by approximately S$6.5 million or 1,897.1%, to approximately S$6.8 million (US$5.3 million) for the six months ended June 30, 2026 from approximately S$0.3 million for the six months ended June 30, 2025. Such increase was primarily attributable to the delivery and acceptance of 30 ePM.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for equipment rental increased by approximately S$0.6 million, or 24.8%, to approximately S$2.9 million (US$2.2 million) for the six months ended June 30, 2026, from approximately S$2.3 million for the six months ended June 30, 2025, mainly due to higher depreciation expenses resulting from the expansion of the existing rental fleet.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approximately S$0.8 million or 10.1%, to approximately S$8.0 million (US$6.1 million) for the six months ended June 30, 2026 from approximately S$8.8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increased by 0.5 percentage points to 24.0% for the six months ended June 30, 2026 from 23.5%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sales of heavy equipment and parts increased by approximately 0.2 percentage points to 15.0% for the six months ended June 30, 2026 from 14.8% for the six months ended June 30 2025. The increase was mainly due to better product mix and margin even though absolute sales value decreased.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engineering consultancy service income decreased by approximately 49.1 percentage points to 20.2% for the six months ended June 30, 2026 from 69.3% for the six months ended June 30, 2025. The decrease was mainly due to the delivery and acceptance of 30 ePM.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rental income decreased by 5.4 percentage points to 54.7% for the six months ended June 30, 2026 from 60.1% for the six months ended June 30, 2025. This decrease was mainly due to higher depreciation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distribution expenses increased by approximately S$0.1 million, or 21.7%, to approximately S$0.4 million (US$0.3 million) for the six months ended June 30, 2026, from approximately S$0.3 million for the six months ended June 30, 2025, due to increase of staff salary and related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general and administrative expenses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7632" w:type="dxa"/>
        <w:jc w:val="left"/>
        <w:tblInd w:w="0" w:type="dxa"/>
        <w:tblLayout w:type="fixed"/>
        <w:tblCellMar>
          <w:top w:w="0" w:type="dxa"/>
          <w:left w:w="0" w:type="dxa"/>
          <w:bottom w:w="0" w:type="dxa"/>
          <w:right w:w="0" w:type="dxa"/>
        </w:tblCellMar>
      </w:tblPr>
      <w:tblGrid>
        <w:gridCol w:w="3470"/>
        <w:gridCol w:w="60"/>
        <w:gridCol w:w="68"/>
        <w:gridCol w:w="641"/>
        <w:gridCol w:w="60"/>
        <w:gridCol w:w="60"/>
        <w:gridCol w:w="60"/>
        <w:gridCol w:w="560"/>
        <w:gridCol w:w="60"/>
        <w:gridCol w:w="60"/>
        <w:gridCol w:w="62"/>
        <w:gridCol w:w="647"/>
        <w:gridCol w:w="60"/>
        <w:gridCol w:w="60"/>
        <w:gridCol w:w="78"/>
        <w:gridCol w:w="811"/>
        <w:gridCol w:w="60"/>
        <w:gridCol w:w="60"/>
        <w:gridCol w:w="60"/>
        <w:gridCol w:w="560"/>
        <w:gridCol w:w="75"/>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27" w:type="dxa"/>
            <w:gridSpan w:val="18"/>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Audit fee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Bank charges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Consultancy fees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1.9</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Director’s fee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Investor relations expense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0.7</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Legal and professional fess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Listing fees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0.9</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Management fees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xml:space="preserve">997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xml:space="preserve">770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xml:space="preserve">19.1 </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Provision for doubtful debts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Rental of open space and equipment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15.6</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Referral fees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Staff costs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1,905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 xml:space="preserve">1,824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xml:space="preserve">1,409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xml:space="preserve">34.9 </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IPO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xml:space="preserve">476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11.8</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b/>
              </w:rPr>
            </w:pPr>
            <w:r>
              <w:rPr>
                <w:b/>
              </w:rPr>
              <w:t>5,661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b/>
              </w:rPr>
            </w:pPr>
            <w:r>
              <w:rPr>
                <w:b/>
              </w:rPr>
              <w:t>5,223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b/>
              </w:rPr>
            </w:pPr>
            <w:r>
              <w:rPr>
                <w:b/>
              </w:rPr>
              <w:t>4,037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charges mainly relate to trade-related activities, such as letters of credit (L/Cs) and bills payable. The decrease was primarily due to fewer L/Cs being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Consultancy fees were incurred for the advisory and business development services, including enhancing the company’s market presence, facilitating business relationships and networking opportunities, supporting investor and stakeholder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is charged on our plant and equipment which included (i) office equipment; (ii) motor vehicles; (iii) equipment accessories and (iv) right-of-use assets. The decrease of approximately S$0.6 million was mainly due to the expiry of rental of open space last Dec 2025 which was classified as 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Rental of open space and equipment of approximately S$0.8 million (US$0.6 million) for the six months ended June 30, 2026, comprises mainly rental from the ultimate holding company and third parties of approximately S$0.6 million (US$0.5 million) and S$0.2 million (US$0.1 million) respectively. For the six months ended June 30, 2025, S$0.6 million in rental payments to the ultimate holding company was capitalised as a right-of-use asset because the lease term exceeded 12 months. The related expense was therefore recorded and disclosed under depreciation. By contrast, the rental period for the six months ended June 30, 2026, was for only six months. Both rental payments to ultimate holding company for the six months ended June 30, 2026 &amp; 2025 were disclosed under related party transactions.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of approximately S$0.1 million (US$0.1 million) for the six months ended Jun 30, 2026, were mainly incurred for the advisory and consultancy of shares anti-split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 represent expenses charged by the ultimate holding company comprises employment cost, rental of office, open space and warehouse, allocation of director’s remuneration and expenses incurred for motor cars and trucks. Management fees increased by approximately S$0.4 million to approximately S$1.0 million (US$0.8 million) for the six months ended June 30, 2026 from approximately S$0.6 million for the six months ended June 30, 2025. The increase was mainly due to increase in headcount, benefits and annual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for doubtful debts was required for the period ended June 30, 2026, as provisions had already been made in the financial year ended December 31, 2025, for customers experiencing financial difficulty in settling their outstanding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Staff costs mainly represented the salaries, employee benefits and retirement benefit costs to our administrative employees and directors’ remuneration. Staff costs decreased by approximately S$0.1 million to approximately S$1.8 million (US$1.4 million) for the six months ended June 30, 2026 from approximately S$1.9 million for the six months ended June 30, 2025. The decrease mainly reflected an approximately S$0.2 million reduction in directors’ remuneration after the cost was transferred to Ten-League Corporations Pte Ltd (“TLC”), the Company’s controlling shareholder at the beginning of the year, partly offset by increased headcount and annual adjustments during the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or other expenses were comprised of company secretarial and tax fees, insurance expenses, office supplies, repair and maintenance, vehicle upkeep, exchange losses and other general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gain/(loss),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total other gain/(loss), net, for the periods indicated:</w:t>
      </w:r>
    </w:p>
    <w:p>
      <w:pPr>
        <w:pStyle w:val="TextBody"/>
        <w:bidi w:val="0"/>
        <w:spacing w:before="0" w:after="0"/>
        <w:ind w:left="0" w:right="0" w:hanging="0"/>
        <w:jc w:val="both"/>
        <w:rPr>
          <w:caps w:val="false"/>
          <w:smallCaps w:val="false"/>
        </w:rPr>
      </w:pPr>
      <w:r>
        <w:rPr>
          <w:caps w:val="false"/>
          <w:smallCaps w:val="false"/>
        </w:rPr>
        <w:t> </w:t>
      </w:r>
    </w:p>
    <w:tbl>
      <w:tblPr>
        <w:tblW w:w="7517" w:type="dxa"/>
        <w:jc w:val="left"/>
        <w:tblInd w:w="0" w:type="dxa"/>
        <w:tblLayout w:type="fixed"/>
        <w:tblCellMar>
          <w:top w:w="0" w:type="dxa"/>
          <w:left w:w="0" w:type="dxa"/>
          <w:bottom w:w="0" w:type="dxa"/>
          <w:right w:w="0" w:type="dxa"/>
        </w:tblCellMar>
      </w:tblPr>
      <w:tblGrid>
        <w:gridCol w:w="4730"/>
        <w:gridCol w:w="60"/>
        <w:gridCol w:w="82"/>
        <w:gridCol w:w="627"/>
        <w:gridCol w:w="95"/>
        <w:gridCol w:w="60"/>
        <w:gridCol w:w="82"/>
        <w:gridCol w:w="627"/>
        <w:gridCol w:w="95"/>
        <w:gridCol w:w="60"/>
        <w:gridCol w:w="103"/>
        <w:gridCol w:w="786"/>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7" w:type="dxa"/>
            <w:gridSpan w:val="10"/>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(Loss)/Gain from disposal of plant and equipment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144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(377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(291</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pPr>
            <w:r>
              <w:rPr/>
              <w:t>Government grant</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Exchange gain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67</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b/>
              </w:rPr>
            </w:pPr>
            <w:r>
              <w:rPr>
                <w:b/>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b/>
              </w:rPr>
            </w:pPr>
            <w:r>
              <w:rPr>
                <w:b/>
              </w:rPr>
              <w:t>(98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b/>
              </w:rPr>
            </w:pPr>
            <w:r>
              <w:rPr>
                <w:b/>
              </w:rPr>
              <w:t>(75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on disposal of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disposal of plant and equipment comprises mainly motor vehicle.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earned from providing financing services to some specific customers buying equipment from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remains stable at approximately S$0.4 million (US$0.3 million)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comprises mainly grants received for progressive wage credit scheme or PWCS.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primarily comprises rental of accessories and parts, service charge, supply of manpower and back charge or recover of expenses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income tax expense comprised current tax expense net of non-tax-deductible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six months ended June 30, 2025 and 2026:</w:t>
      </w:r>
    </w:p>
    <w:p>
      <w:pPr>
        <w:pStyle w:val="TextBody"/>
        <w:bidi w:val="0"/>
        <w:spacing w:before="0" w:after="0"/>
        <w:ind w:left="0" w:right="0" w:firstLine="720"/>
        <w:jc w:val="both"/>
        <w:rPr>
          <w:caps w:val="false"/>
          <w:smallCaps w:val="false"/>
        </w:rPr>
      </w:pPr>
      <w:r>
        <w:rPr>
          <w:caps w:val="false"/>
          <w:smallCaps w:val="false"/>
        </w:rPr>
        <w:t> </w:t>
      </w:r>
    </w:p>
    <w:tbl>
      <w:tblPr>
        <w:tblW w:w="9214" w:type="dxa"/>
        <w:jc w:val="left"/>
        <w:tblInd w:w="0" w:type="dxa"/>
        <w:tblLayout w:type="fixed"/>
        <w:tblCellMar>
          <w:top w:w="0" w:type="dxa"/>
          <w:left w:w="0" w:type="dxa"/>
          <w:bottom w:w="0" w:type="dxa"/>
          <w:right w:w="0" w:type="dxa"/>
        </w:tblCellMar>
      </w:tblPr>
      <w:tblGrid>
        <w:gridCol w:w="6365"/>
        <w:gridCol w:w="60"/>
        <w:gridCol w:w="60"/>
        <w:gridCol w:w="680"/>
        <w:gridCol w:w="95"/>
        <w:gridCol w:w="60"/>
        <w:gridCol w:w="60"/>
        <w:gridCol w:w="680"/>
        <w:gridCol w:w="95"/>
        <w:gridCol w:w="60"/>
        <w:gridCol w:w="76"/>
        <w:gridCol w:w="813"/>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9" w:type="dxa"/>
            <w:gridSpan w:val="10"/>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11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b/>
              </w:rPr>
            </w:pPr>
            <w:r>
              <w:rPr>
                <w:b/>
              </w:rPr>
              <w:t>Cash and cash equivalent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8,256</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7,691</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Net cash provided/(used in) by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(5,514</w:t>
            </w:r>
          </w:p>
        </w:tc>
        <w:tc>
          <w:tcPr>
            <w:tcW w:w="110" w:type="dxa"/>
            <w:tcBorders/>
            <w:shd w:fill="CCEEFF" w:val="clear"/>
            <w:vAlign w:val="center"/>
          </w:tcPr>
          <w:p>
            <w:pPr>
              <w:pStyle w:val="TableContents"/>
              <w:bidi w:val="0"/>
              <w:spacing w:before="0" w:after="283"/>
              <w:jc w:val="left"/>
              <w:rPr/>
            </w:pPr>
            <w:r>
              <w:rPr/>
              <w:t>)</w:t>
            </w:r>
          </w:p>
        </w:tc>
      </w:tr>
      <w:tr>
        <w:trPr/>
        <w:tc>
          <w:tcPr>
            <w:tcW w:w="6365"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(1,990</w:t>
            </w:r>
          </w:p>
        </w:tc>
        <w:tc>
          <w:tcPr>
            <w:tcW w:w="110" w:type="dxa"/>
            <w:tcBorders/>
            <w:shd w:fill="FFFFFF" w:val="clear"/>
            <w:vAlign w:val="center"/>
          </w:tcPr>
          <w:p>
            <w:pPr>
              <w:pStyle w:val="TableContents"/>
              <w:bidi w:val="0"/>
              <w:spacing w:before="0" w:after="283"/>
              <w:jc w:val="left"/>
              <w:rPr/>
            </w:pPr>
            <w:r>
              <w:rPr/>
              <w:t>)</w:t>
            </w:r>
          </w:p>
        </w:tc>
      </w:tr>
      <w:tr>
        <w:trPr/>
        <w:tc>
          <w:tcPr>
            <w:tcW w:w="6365" w:type="dxa"/>
            <w:tcBorders/>
            <w:shd w:fill="CCEEFF" w:val="clear"/>
            <w:vAlign w:val="center"/>
          </w:tcPr>
          <w:p>
            <w:pPr>
              <w:pStyle w:val="TableContents"/>
              <w:bidi w:val="0"/>
              <w:spacing w:before="0" w:after="283"/>
              <w:jc w:val="left"/>
              <w:rPr/>
            </w:pPr>
            <w:r>
              <w:rPr/>
              <w:t>Effect of exchange rate change on balance held in foreign currency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9</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Net change in cash and cash equivalent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196</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b/>
              </w:rPr>
            </w:pPr>
            <w:r>
              <w:rPr>
                <w:b/>
              </w:rPr>
              <w:t>Cash and cash equivalent as at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5,164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10,938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b/>
              </w:rPr>
            </w:pPr>
            <w:r>
              <w:rPr>
                <w:b/>
              </w:rPr>
              <w:t>8,452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cash provided by operating activities was approximately S$10.0 million (US$7.7 million), primarily reflecting net income of approximately S$1.8 million (US$1.4 million), as adjusted by (a) positive changes of approximately S$2.6 million (US$2.0 million) in non-cash items primarily including depreciation of property and equipment and right-of-use assets, and gain on disposal of property and equipment; and (b) positive changes of approximately S$5.6 million (US$4.3 million) in working capital primarily reflecting (i) an increase of approximately S$2.6 million (US$2.0 million) in accounts receivable; (ii) a decrease of approximately S$0.6 million (US$0.4 million) in other receivables; (iii) an increase of approximately S$11.0 million (US$8.5 million) in inventories; (iv) a decrease of approximately S$0.6 million (US$0.5 million) in related parties; and (v) a decrease of approximately S$6.8 million (US$5.3 million) in accounts and other payables.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net cash provided by operating activities was approximately S$10.0 million (US$7.9 million), primarily reflecting net income of approximately S$2.4 million (US$1.9 million), as adjusted by (a) positive changes of approximately S$2.9 million (US$2.3 million) in non-cash items primarily including depreciation of property and equipment and right-of-use assets, and loss on disposal of property and equipment; and (b) positive changes of approximately S$4.7 million (US$3.7 million) in working capital primarily reflecting (i) an increase of approximately S$1.6 million (US$1.2 million) in accounts receivable; (ii) a decrease of approximately S$0.4 million (US$0.3 million) in contract assets; (iii) an increase of approximately S$2.8 million (US$2.2 million) in inventories; (iv) an increase of approximately S$0.1 million (US$0.1 million) in related parties; (v) an increase of approximately S$0.1 million (US$0.1 million) in accounts and other payables and (vi) an increase of approximately S$0.5 million (US$0.4 million) in income tax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cash used in investing activities was approximately S$7.1 million (US$5.5 million), primarily consisting of purchases of property and equipment, sale proceeds from the disposal of property and equipment and payment received from finance lease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net cash provided by investing activities was approximately S$0.2 million (US$0.1 million), primarily consisting of purchases of property and equipment, sale proceeds from the disposal of property and equipment and payment received from finance lease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our net cash used in financing activities was approximately S$2.6 million (US$2.0 million) primarily consisting of proceeds from borrowings of approximately S$1.5 million (US$1.1 million), partially offset by repayment for capital and interest portions of lease liabilities of approximately S$4.1 million (US$3.1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our net cash used in financing activities was approximately S$5.7 million (US$4.5 million) primarily consisting of proceeds from borrowings of approximately S$0.7 million (US$0.5 million), partially offset by (i) repayment for capital and interest portions of lease liabilities of approximately S$5.2 million (US$4.1 million), (ii) a decrease in bank borrowing of approximately S$0.3 million (US$0.2 million), and (iii) a decrease of approximately S$0.9 million (US$0.7 million) in deferred IPO expenses which would be capitalized on completion of the IPO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capital expenditure primarily consists of expenditures on equipment. We made capital expenditures of approximately S$8.9 million and S$7.6 million (US$5.9 million) in the six months ended June 30, 2025 and 2026, respectively. Out of which, approximately S$8.7 million and S$7.5 million are equipment transferred from inventories for the six months ended June 30, 2025 and 2026 respectively.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ageing analysis of our accounts receivable, net, based on the invoiced date as of the dates mentioned below:</w:t>
      </w:r>
    </w:p>
    <w:p>
      <w:pPr>
        <w:pStyle w:val="TextBody"/>
        <w:bidi w:val="0"/>
        <w:spacing w:before="0" w:after="0"/>
        <w:ind w:left="0" w:right="0" w:hanging="0"/>
        <w:jc w:val="both"/>
        <w:rPr>
          <w:caps w:val="false"/>
          <w:smallCaps w:val="false"/>
        </w:rPr>
      </w:pPr>
      <w:r>
        <w:rPr>
          <w:caps w:val="false"/>
          <w:smallCaps w:val="false"/>
        </w:rPr>
        <w:t> </w:t>
      </w:r>
    </w:p>
    <w:tbl>
      <w:tblPr>
        <w:tblW w:w="6991" w:type="dxa"/>
        <w:jc w:val="left"/>
        <w:tblInd w:w="0" w:type="dxa"/>
        <w:tblLayout w:type="fixed"/>
        <w:tblCellMar>
          <w:top w:w="0" w:type="dxa"/>
          <w:left w:w="0" w:type="dxa"/>
          <w:bottom w:w="0" w:type="dxa"/>
          <w:right w:w="0" w:type="dxa"/>
        </w:tblCellMar>
      </w:tblPr>
      <w:tblGrid>
        <w:gridCol w:w="3035"/>
        <w:gridCol w:w="60"/>
        <w:gridCol w:w="73"/>
        <w:gridCol w:w="830"/>
        <w:gridCol w:w="73"/>
        <w:gridCol w:w="73"/>
        <w:gridCol w:w="73"/>
        <w:gridCol w:w="830"/>
        <w:gridCol w:w="60"/>
        <w:gridCol w:w="60"/>
        <w:gridCol w:w="60"/>
        <w:gridCol w:w="680"/>
        <w:gridCol w:w="60"/>
        <w:gridCol w:w="60"/>
        <w:gridCol w:w="86"/>
        <w:gridCol w:w="803"/>
        <w:gridCol w:w="75"/>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vAlign w:val="center"/>
          </w:tcPr>
          <w:p>
            <w:pPr>
              <w:pStyle w:val="TableContents"/>
              <w:bidi w:val="0"/>
              <w:spacing w:before="0" w:after="283"/>
              <w:jc w:val="center"/>
              <w:rPr>
                <w:b/>
              </w:rPr>
            </w:pPr>
            <w:r>
              <w:rPr>
                <w:b/>
              </w:rPr>
              <w:t xml:space="preserve">As of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9" w:type="dxa"/>
            <w:gridSpan w:val="6"/>
            <w:tcBorders/>
            <w:vAlign w:val="center"/>
          </w:tcPr>
          <w:p>
            <w:pPr>
              <w:pStyle w:val="TableContents"/>
              <w:bidi w:val="0"/>
              <w:spacing w:before="0" w:after="283"/>
              <w:jc w:val="center"/>
              <w:rPr>
                <w:b/>
              </w:rPr>
            </w:pPr>
            <w:r>
              <w:rPr>
                <w:b/>
              </w:rPr>
              <w:t xml:space="preserve">As of </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center"/>
              <w:rPr>
                <w:b/>
              </w:rPr>
            </w:pPr>
            <w:r>
              <w:rPr>
                <w:b/>
              </w:rPr>
              <w:t>S$’000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03" w:type="dxa"/>
            <w:gridSpan w:val="2"/>
            <w:tcBorders/>
            <w:vAlign w:val="center"/>
          </w:tcPr>
          <w:p>
            <w:pPr>
              <w:pStyle w:val="TableContents"/>
              <w:bidi w:val="0"/>
              <w:spacing w:before="0" w:after="283"/>
              <w:jc w:val="center"/>
              <w:rPr>
                <w:b/>
              </w:rPr>
            </w:pPr>
            <w:r>
              <w:rPr>
                <w:b/>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Within 30 days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4,799</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2,939</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Between 31 and 60 days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1,367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2,922</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Between 61 and 90 days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2,261</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965</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Between 91 and 120 days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1,307</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1,092</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Between 121 and 180 days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2,867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540</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Between 181 and 360 days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749</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582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1,165</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Over 360 days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1,060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101</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b/>
              </w:rPr>
            </w:pPr>
            <w:r>
              <w:rPr>
                <w:b/>
              </w:rPr>
              <w:t>Total account receivables, net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rPr>
            </w:pPr>
            <w:r>
              <w:rPr>
                <w:b/>
              </w:rPr>
              <w:t>14,410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rPr>
            </w:pPr>
            <w:r>
              <w:rPr>
                <w:b/>
              </w:rPr>
              <w:t>11,206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12,584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b/>
              </w:rPr>
            </w:pPr>
            <w:r>
              <w:rPr>
                <w:b/>
              </w:rPr>
              <w:t>9,724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Movements in the provision for impairment of accounts receivable are as follows:</w:t>
      </w:r>
    </w:p>
    <w:p>
      <w:pPr>
        <w:pStyle w:val="TextBody"/>
        <w:bidi w:val="0"/>
        <w:spacing w:before="0" w:after="0"/>
        <w:ind w:left="0" w:right="0" w:hanging="0"/>
        <w:jc w:val="both"/>
        <w:rPr>
          <w:caps w:val="false"/>
          <w:smallCaps w:val="false"/>
        </w:rPr>
      </w:pPr>
      <w:r>
        <w:rPr>
          <w:caps w:val="false"/>
          <w:smallCaps w:val="false"/>
        </w:rPr>
        <w:t> </w:t>
      </w:r>
    </w:p>
    <w:tbl>
      <w:tblPr>
        <w:tblW w:w="6604" w:type="dxa"/>
        <w:jc w:val="left"/>
        <w:tblInd w:w="0" w:type="dxa"/>
        <w:tblLayout w:type="fixed"/>
        <w:tblCellMar>
          <w:top w:w="0" w:type="dxa"/>
          <w:left w:w="0" w:type="dxa"/>
          <w:bottom w:w="0" w:type="dxa"/>
          <w:right w:w="0" w:type="dxa"/>
        </w:tblCellMar>
      </w:tblPr>
      <w:tblGrid>
        <w:gridCol w:w="2630"/>
        <w:gridCol w:w="60"/>
        <w:gridCol w:w="75"/>
        <w:gridCol w:w="803"/>
        <w:gridCol w:w="120"/>
        <w:gridCol w:w="75"/>
        <w:gridCol w:w="76"/>
        <w:gridCol w:w="813"/>
        <w:gridCol w:w="95"/>
        <w:gridCol w:w="60"/>
        <w:gridCol w:w="68"/>
        <w:gridCol w:w="641"/>
        <w:gridCol w:w="62"/>
        <w:gridCol w:w="62"/>
        <w:gridCol w:w="85"/>
        <w:gridCol w:w="804"/>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2" w:type="dxa"/>
            <w:gridSpan w:val="6"/>
            <w:tcBorders/>
            <w:vAlign w:val="center"/>
          </w:tcPr>
          <w:p>
            <w:pPr>
              <w:pStyle w:val="TableContents"/>
              <w:bidi w:val="0"/>
              <w:spacing w:before="0" w:after="283"/>
              <w:jc w:val="center"/>
              <w:rPr>
                <w:b/>
              </w:rPr>
            </w:pPr>
            <w:r>
              <w:rPr>
                <w:b/>
              </w:rPr>
              <w:t xml:space="preserve">As of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6"/>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b/>
              </w:rPr>
            </w:pPr>
            <w:r>
              <w:rPr>
                <w:b/>
              </w:rPr>
              <w:t>S$’000</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center"/>
              <w:rPr>
                <w:b/>
              </w:rPr>
            </w:pPr>
            <w:r>
              <w:rPr>
                <w:b/>
              </w:rPr>
              <w:t>S$’000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US$’000</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Opening balance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3,053</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1,901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1,469</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Provision of loss allowance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1,442</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Write-off of loss allowance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(2,594</w:t>
            </w:r>
          </w:p>
        </w:tc>
        <w:tc>
          <w:tcPr>
            <w:tcW w:w="120" w:type="dxa"/>
            <w:tcBorders/>
            <w:shd w:fill="CCEEFF" w:val="clear"/>
            <w:vAlign w:val="center"/>
          </w:tcPr>
          <w:p>
            <w:pPr>
              <w:pStyle w:val="TableContents"/>
              <w:bidi w:val="0"/>
              <w:spacing w:before="0" w:after="283"/>
              <w:jc w:val="left"/>
              <w:rPr/>
            </w:pPr>
            <w:r>
              <w:rPr/>
              <w:t>)</w:t>
            </w:r>
          </w:p>
        </w:tc>
        <w:tc>
          <w:tcPr>
            <w:tcW w:w="7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(2,017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b/>
              </w:rPr>
            </w:pPr>
            <w:r>
              <w:rPr>
                <w:b/>
              </w:rPr>
              <w:t>Closing balance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b/>
              </w:rPr>
            </w:pPr>
            <w:r>
              <w:rPr>
                <w:b/>
              </w:rPr>
              <w:t>1,901</w:t>
            </w:r>
          </w:p>
        </w:tc>
        <w:tc>
          <w:tcPr>
            <w:tcW w:w="1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b/>
              </w:rPr>
            </w:pPr>
            <w:r>
              <w:rPr>
                <w:b/>
              </w:rPr>
              <w:t>1,478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b/>
              </w:rPr>
            </w:pPr>
            <w:r>
              <w:rPr>
                <w:b/>
              </w:rPr>
              <w:t>1,901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b/>
              </w:rPr>
            </w:pPr>
            <w:r>
              <w:rPr>
                <w:b/>
              </w:rPr>
              <w:t>1,469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net amounts outstanding for more than 180 days from the invoice date were approximately S$1.6 million (US$1.3 million), of which only approximately S$0.1 million (US$0.1 million) had been outstanding for more than 360 days. Amounts outstanding for 181 to 360 days increased by approximately S$0.8 million or 101.2%, to approximately S$1.5 million (US$1.2 million) for the six months ended June 30, 2026, from approximately S$0.7 million for the six months ended June 30, 2025. This increase resulted from slow payments and the availability of installment payment arrangements. As of the date of this announcement, approximately S$1.0 million (US$0.8 million) had been collected since Jun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net amount owing for more than 120 days by invoice date was approximately S$4.7 million (US$3.6 million), of which net balance of S$1.0 million was attributable to a special arrangement requested by our Major Supplier, to extend the credit term to a local customer, approximately S$1.5 million was purchased by customer under bank financing. After year ended December 31, 2025, the outstanding amount under the special arrangement was fully collected. In addition, we received approximately S$1.2 million from the bank. The special arrangement requested by our major supplier to extend credit terms previously was fully collected as of Jun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on a continuing basis, the probable losses and an allowance for doubtful accounts, based on several factors including internal risk ratings, customer credit quality, payment history, historical bad debt/write-off experience and forecast economic and market conditions. Accounts receivables are written off after exhaustive collection efforts occur and the receivable is deemed uncollectible. In addition, receivable balances are monitored on an ongoing basis and its exposure to bad debts is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no loss allowance was provided as most of it was provided for in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approximately S$1.4 million (US$1.1 million) was provided as loss allowance. The provision was raised mainly due to customers experiencing financial difficulty in settling their outstanding balances.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credit terms from our major suppliers are payment within 30-180 days. Our accounts payable decreased by approximately S$6.8 million to approximately S$4.7 million (US$3.6 million) as of June 30, 2026 from approximately S$11.5 million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material default in payment of accounts payable during the six months ended June 30, 2026 from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consist primarily of day-to-day operating expenses, capital expenditure and contractual obligations with respect to facility leases and other operating leases. We lease all our office facilities. We expect to make future payments on existing leases from cash generated from operations. We have limited credit available from our major vendors, which further constrains our cash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and lease commitments as of June 30, 2026:</w:t>
      </w:r>
    </w:p>
    <w:p>
      <w:pPr>
        <w:pStyle w:val="TextBody"/>
        <w:bidi w:val="0"/>
        <w:spacing w:before="0" w:after="0"/>
        <w:ind w:left="0" w:right="0" w:hanging="0"/>
        <w:jc w:val="both"/>
        <w:rPr>
          <w:caps w:val="false"/>
          <w:smallCaps w:val="false"/>
        </w:rPr>
      </w:pPr>
      <w:r>
        <w:rPr>
          <w:caps w:val="false"/>
          <w:smallCaps w:val="false"/>
        </w:rPr>
        <w:t> </w:t>
      </w:r>
    </w:p>
    <w:tbl>
      <w:tblPr>
        <w:tblW w:w="6997" w:type="dxa"/>
        <w:jc w:val="left"/>
        <w:tblInd w:w="0" w:type="dxa"/>
        <w:tblLayout w:type="fixed"/>
        <w:tblCellMar>
          <w:top w:w="0" w:type="dxa"/>
          <w:left w:w="0" w:type="dxa"/>
          <w:bottom w:w="28" w:type="dxa"/>
          <w:right w:w="0" w:type="dxa"/>
        </w:tblCellMar>
      </w:tblPr>
      <w:tblGrid>
        <w:gridCol w:w="2735"/>
        <w:gridCol w:w="60"/>
        <w:gridCol w:w="60"/>
        <w:gridCol w:w="680"/>
        <w:gridCol w:w="60"/>
        <w:gridCol w:w="60"/>
        <w:gridCol w:w="80"/>
        <w:gridCol w:w="914"/>
        <w:gridCol w:w="60"/>
        <w:gridCol w:w="60"/>
        <w:gridCol w:w="90"/>
        <w:gridCol w:w="844"/>
        <w:gridCol w:w="60"/>
        <w:gridCol w:w="60"/>
        <w:gridCol w:w="424"/>
        <w:gridCol w:w="675"/>
        <w:gridCol w:w="75"/>
      </w:tblGrid>
      <w:tr>
        <w:trPr/>
        <w:tc>
          <w:tcPr>
            <w:tcW w:w="2735" w:type="dxa"/>
            <w:tcBorders>
              <w:bottom w:val="single" w:sz="8" w:space="0" w:color="000000"/>
            </w:tcBorders>
            <w:vAlign w:val="center"/>
          </w:tcPr>
          <w:p>
            <w:pPr>
              <w:pStyle w:val="TableContents"/>
              <w:bidi w:val="0"/>
              <w:spacing w:before="0" w:after="283"/>
              <w:jc w:val="left"/>
              <w:rPr>
                <w:b/>
              </w:rPr>
            </w:pPr>
            <w:r>
              <w:rPr>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8" w:space="0" w:color="000000"/>
            </w:tcBorders>
            <w:vAlign w:val="center"/>
          </w:tcPr>
          <w:p>
            <w:pPr>
              <w:pStyle w:val="TableContents"/>
              <w:bidi w:val="0"/>
              <w:jc w:val="center"/>
              <w:rPr>
                <w:b/>
              </w:rPr>
            </w:pPr>
            <w:r>
              <w:rPr>
                <w:b/>
              </w:rPr>
              <w:t>Less than</w:t>
            </w:r>
          </w:p>
          <w:p>
            <w:pPr>
              <w:pStyle w:val="TableContents"/>
              <w:bidi w:val="0"/>
              <w:spacing w:before="0" w:after="283"/>
              <w:jc w:val="center"/>
              <w:rPr>
                <w:b/>
              </w:rPr>
            </w:pPr>
            <w:r>
              <w:rPr>
                <w:b/>
              </w:rPr>
              <w:t>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rPr>
            </w:pPr>
            <w:r>
              <w:rPr>
                <w:b/>
              </w:rPr>
              <w:t>2-5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jc w:val="center"/>
              <w:rPr>
                <w:b/>
              </w:rPr>
            </w:pPr>
            <w:r>
              <w:rPr>
                <w:b/>
              </w:rPr>
              <w:t>More than</w:t>
            </w:r>
          </w:p>
          <w:p>
            <w:pPr>
              <w:pStyle w:val="TableContents"/>
              <w:bidi w:val="0"/>
              <w:spacing w:before="0" w:after="283"/>
              <w:jc w:val="center"/>
              <w:rPr>
                <w:b/>
              </w:rPr>
            </w:pPr>
            <w:r>
              <w:rPr>
                <w:b/>
              </w:rPr>
              <w:t>5 years</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tcMar>
              <w:bottom w:w="0" w:type="dxa"/>
            </w:tcMar>
            <w:vAlign w:val="center"/>
          </w:tcPr>
          <w:p>
            <w:pPr>
              <w:pStyle w:val="TableContents"/>
              <w:bidi w:val="0"/>
              <w:spacing w:before="0" w:after="283"/>
              <w:jc w:val="center"/>
              <w:rPr/>
            </w:pPr>
            <w:r>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center"/>
              <w:rPr/>
            </w:pPr>
            <w:r>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tcMar>
              <w:bottom w:w="0" w:type="dxa"/>
            </w:tcMar>
            <w:vAlign w:val="center"/>
          </w:tcPr>
          <w:p>
            <w:pPr>
              <w:pStyle w:val="TableContents"/>
              <w:bidi w:val="0"/>
              <w:spacing w:before="0" w:after="283"/>
              <w:jc w:val="center"/>
              <w:rPr/>
            </w:pPr>
            <w:r>
              <w:rPr/>
              <w:t>S$’000</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pPr>
            <w:r>
              <w:rPr/>
              <w:t>Operating lease commitment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13,800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7,041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6,759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4"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283"/>
              <w:jc w:val="left"/>
              <w:rPr/>
            </w:pPr>
            <w:r>
              <w:rPr/>
              <w:t>Bank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14,742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4"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left"/>
              <w:rPr>
                <w:b/>
              </w:rPr>
            </w:pPr>
            <w:r>
              <w:rPr>
                <w:b/>
              </w:rPr>
              <w:t>Total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28,542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b/>
              </w:rPr>
            </w:pPr>
            <w:r>
              <w:rPr>
                <w:b/>
              </w:rPr>
              <w:t>21,783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b/>
              </w:rPr>
            </w:pPr>
            <w:r>
              <w:rPr>
                <w:b/>
              </w:rPr>
              <w:t>6,759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4"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and lease commitments as of December 31, 2025:</w:t>
      </w:r>
    </w:p>
    <w:p>
      <w:pPr>
        <w:pStyle w:val="TextBody"/>
        <w:bidi w:val="0"/>
        <w:spacing w:before="0" w:after="0"/>
        <w:ind w:left="0" w:right="0" w:hanging="0"/>
        <w:jc w:val="both"/>
        <w:rPr>
          <w:caps w:val="false"/>
          <w:smallCaps w:val="false"/>
        </w:rPr>
      </w:pPr>
      <w:r>
        <w:rPr>
          <w:caps w:val="false"/>
          <w:smallCaps w:val="false"/>
        </w:rPr>
        <w:t> </w:t>
      </w:r>
    </w:p>
    <w:tbl>
      <w:tblPr>
        <w:tblW w:w="6622" w:type="dxa"/>
        <w:jc w:val="left"/>
        <w:tblInd w:w="0" w:type="dxa"/>
        <w:tblLayout w:type="fixed"/>
        <w:tblCellMar>
          <w:top w:w="0" w:type="dxa"/>
          <w:left w:w="0" w:type="dxa"/>
          <w:bottom w:w="28" w:type="dxa"/>
          <w:right w:w="0" w:type="dxa"/>
        </w:tblCellMar>
      </w:tblPr>
      <w:tblGrid>
        <w:gridCol w:w="2735"/>
        <w:gridCol w:w="60"/>
        <w:gridCol w:w="60"/>
        <w:gridCol w:w="680"/>
        <w:gridCol w:w="60"/>
        <w:gridCol w:w="60"/>
        <w:gridCol w:w="66"/>
        <w:gridCol w:w="748"/>
        <w:gridCol w:w="60"/>
        <w:gridCol w:w="60"/>
        <w:gridCol w:w="90"/>
        <w:gridCol w:w="844"/>
        <w:gridCol w:w="60"/>
        <w:gridCol w:w="60"/>
        <w:gridCol w:w="348"/>
        <w:gridCol w:w="556"/>
        <w:gridCol w:w="75"/>
      </w:tblGrid>
      <w:tr>
        <w:trPr/>
        <w:tc>
          <w:tcPr>
            <w:tcW w:w="2735" w:type="dxa"/>
            <w:tcBorders>
              <w:bottom w:val="single" w:sz="8" w:space="0" w:color="000000"/>
            </w:tcBorders>
            <w:vAlign w:val="center"/>
          </w:tcPr>
          <w:p>
            <w:pPr>
              <w:pStyle w:val="TableContents"/>
              <w:bidi w:val="0"/>
              <w:spacing w:before="0" w:after="283"/>
              <w:jc w:val="left"/>
              <w:rPr>
                <w:b/>
              </w:rPr>
            </w:pPr>
            <w:r>
              <w:rPr>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rPr>
            </w:pPr>
            <w:r>
              <w:rPr>
                <w:b/>
              </w:rPr>
              <w:t>2-5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More than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years</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pPr>
            <w:r>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4" w:type="dxa"/>
            <w:gridSpan w:val="2"/>
            <w:tcBorders/>
            <w:tcMar>
              <w:bottom w:w="0" w:type="dxa"/>
            </w:tcMar>
            <w:vAlign w:val="center"/>
          </w:tcPr>
          <w:p>
            <w:pPr>
              <w:pStyle w:val="TableContents"/>
              <w:bidi w:val="0"/>
              <w:spacing w:before="0" w:after="283"/>
              <w:jc w:val="center"/>
              <w:rPr/>
            </w:pPr>
            <w:r>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tcMar>
              <w:bottom w:w="0" w:type="dxa"/>
            </w:tcMar>
            <w:vAlign w:val="center"/>
          </w:tcPr>
          <w:p>
            <w:pPr>
              <w:pStyle w:val="TableContents"/>
              <w:bidi w:val="0"/>
              <w:spacing w:before="0" w:after="283"/>
              <w:jc w:val="center"/>
              <w:rPr/>
            </w:pPr>
            <w:r>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tcMar>
              <w:bottom w:w="0" w:type="dxa"/>
            </w:tcMar>
            <w:vAlign w:val="center"/>
          </w:tcPr>
          <w:p>
            <w:pPr>
              <w:pStyle w:val="TableContents"/>
              <w:bidi w:val="0"/>
              <w:spacing w:before="0" w:after="283"/>
              <w:jc w:val="center"/>
              <w:rPr/>
            </w:pPr>
            <w:r>
              <w:rPr/>
              <w:t>S$’000</w:t>
            </w:r>
          </w:p>
        </w:tc>
        <w:tc>
          <w:tcPr>
            <w:tcW w:w="75" w:type="dxa"/>
            <w:tcBorders/>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both"/>
              <w:rPr/>
            </w:pPr>
            <w:r>
              <w:rPr/>
              <w:t>Operating lease commitment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pPr>
            <w:r>
              <w:rPr/>
              <w:t>6,606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pPr>
            <w:r>
              <w:rPr/>
              <w:t>7,558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35" w:type="dxa"/>
            <w:tcBorders/>
            <w:shd w:fill="FFFFFF" w:val="clear"/>
            <w:tcMar>
              <w:bottom w:w="0" w:type="dxa"/>
            </w:tcMar>
            <w:vAlign w:val="center"/>
          </w:tcPr>
          <w:p>
            <w:pPr>
              <w:pStyle w:val="TableContents"/>
              <w:bidi w:val="0"/>
              <w:spacing w:before="0" w:after="283"/>
              <w:jc w:val="both"/>
              <w:rPr/>
            </w:pPr>
            <w:r>
              <w:rPr/>
              <w:t>Bank borrowings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16,953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shd w:fill="FFFFFF" w:val="clear"/>
            <w:tcMar>
              <w:bottom w:w="0" w:type="dxa"/>
            </w:tcMar>
            <w:vAlign w:val="center"/>
          </w:tcPr>
          <w:p>
            <w:pPr>
              <w:pStyle w:val="TableContents"/>
              <w:bidi w:val="0"/>
              <w:spacing w:before="0" w:after="283"/>
              <w:jc w:val="left"/>
              <w:rPr/>
            </w:pPr>
            <w:r>
              <w:rPr/>
              <w:t> </w:t>
            </w:r>
          </w:p>
        </w:tc>
        <w:tc>
          <w:tcPr>
            <w:tcW w:w="748" w:type="dxa"/>
            <w:tcBorders/>
            <w:shd w:fill="FFFFFF" w:val="clear"/>
            <w:tcMar>
              <w:bottom w:w="0" w:type="dxa"/>
            </w:tcMar>
            <w:vAlign w:val="center"/>
          </w:tcPr>
          <w:p>
            <w:pPr>
              <w:pStyle w:val="TableContents"/>
              <w:bidi w:val="0"/>
              <w:spacing w:before="0" w:after="283"/>
              <w:jc w:val="right"/>
              <w:rPr/>
            </w:pPr>
            <w:r>
              <w:rPr/>
              <w:t>16,953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4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jc w:val="left"/>
              <w:rPr/>
            </w:pPr>
            <w:r>
              <w:rPr/>
              <w:t> </w:t>
            </w:r>
          </w:p>
        </w:tc>
        <w:tc>
          <w:tcPr>
            <w:tcW w:w="556"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35" w:type="dxa"/>
            <w:tcBorders/>
            <w:shd w:fill="CCEEFF" w:val="clear"/>
            <w:tcMar>
              <w:bottom w:w="0" w:type="dxa"/>
            </w:tcMar>
            <w:vAlign w:val="center"/>
          </w:tcPr>
          <w:p>
            <w:pPr>
              <w:pStyle w:val="TableContents"/>
              <w:bidi w:val="0"/>
              <w:spacing w:before="0" w:after="283"/>
              <w:jc w:val="both"/>
              <w:rPr>
                <w:b/>
              </w:rPr>
            </w:pPr>
            <w:r>
              <w:rPr>
                <w:b/>
              </w:rPr>
              <w:t>Total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b/>
              </w:rPr>
            </w:pPr>
            <w:r>
              <w:rPr>
                <w:b/>
              </w:rPr>
              <w:t>31,117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748" w:type="dxa"/>
            <w:tcBorders/>
            <w:shd w:fill="CCEEFF" w:val="clear"/>
            <w:tcMar>
              <w:bottom w:w="0" w:type="dxa"/>
            </w:tcMar>
            <w:vAlign w:val="center"/>
          </w:tcPr>
          <w:p>
            <w:pPr>
              <w:pStyle w:val="TableContents"/>
              <w:bidi w:val="0"/>
              <w:spacing w:before="0" w:after="283"/>
              <w:jc w:val="right"/>
              <w:rPr>
                <w:b/>
              </w:rPr>
            </w:pPr>
            <w:r>
              <w:rPr>
                <w:b/>
              </w:rPr>
              <w:t>23,559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4" w:type="dxa"/>
            <w:tcBorders/>
            <w:shd w:fill="CCEEFF" w:val="clear"/>
            <w:tcMar>
              <w:bottom w:w="0" w:type="dxa"/>
            </w:tcMar>
            <w:vAlign w:val="center"/>
          </w:tcPr>
          <w:p>
            <w:pPr>
              <w:pStyle w:val="TableContents"/>
              <w:bidi w:val="0"/>
              <w:spacing w:before="0" w:after="283"/>
              <w:jc w:val="right"/>
              <w:rPr>
                <w:b/>
              </w:rPr>
            </w:pPr>
            <w:r>
              <w:rPr>
                <w:b/>
              </w:rPr>
              <w:t>7,558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right"/>
              <w:rPr>
                <w:b/>
              </w:rPr>
            </w:pPr>
            <w:r>
              <w:rPr>
                <w:b/>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sufficient working capital for our requirements for at least the next 12 months from the date of this prospectus, absent unforeseen circumstances, taking into account the financial resources presently available to us, including cash and cash equivalents on hand, cash flows from our operations and the estimated net proceeds from the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 indebtedness</w:t>
      </w:r>
    </w:p>
    <w:p>
      <w:pPr>
        <w:pStyle w:val="TextBody"/>
        <w:bidi w:val="0"/>
        <w:spacing w:before="0" w:after="0"/>
        <w:ind w:left="0" w:right="0" w:hanging="0"/>
        <w:jc w:val="left"/>
        <w:rPr>
          <w:caps w:val="false"/>
          <w:smallCaps w:val="false"/>
        </w:rPr>
      </w:pPr>
      <w:r>
        <w:rPr>
          <w:caps w:val="false"/>
          <w:smallCaps w:val="false"/>
        </w:rPr>
        <w:t> </w:t>
      </w:r>
    </w:p>
    <w:tbl>
      <w:tblPr>
        <w:tblW w:w="7328" w:type="dxa"/>
        <w:jc w:val="left"/>
        <w:tblInd w:w="0" w:type="dxa"/>
        <w:tblLayout w:type="fixed"/>
        <w:tblCellMar>
          <w:top w:w="0" w:type="dxa"/>
          <w:left w:w="0" w:type="dxa"/>
          <w:bottom w:w="28" w:type="dxa"/>
          <w:right w:w="0" w:type="dxa"/>
        </w:tblCellMar>
      </w:tblPr>
      <w:tblGrid>
        <w:gridCol w:w="1265"/>
        <w:gridCol w:w="60"/>
        <w:gridCol w:w="95"/>
        <w:gridCol w:w="915"/>
        <w:gridCol w:w="60"/>
        <w:gridCol w:w="60"/>
        <w:gridCol w:w="186"/>
        <w:gridCol w:w="854"/>
        <w:gridCol w:w="60"/>
        <w:gridCol w:w="60"/>
        <w:gridCol w:w="61"/>
        <w:gridCol w:w="697"/>
        <w:gridCol w:w="61"/>
        <w:gridCol w:w="61"/>
        <w:gridCol w:w="71"/>
        <w:gridCol w:w="818"/>
        <w:gridCol w:w="60"/>
        <w:gridCol w:w="60"/>
        <w:gridCol w:w="60"/>
        <w:gridCol w:w="680"/>
        <w:gridCol w:w="60"/>
        <w:gridCol w:w="60"/>
        <w:gridCol w:w="72"/>
        <w:gridCol w:w="817"/>
        <w:gridCol w:w="75"/>
      </w:tblGrid>
      <w:tr>
        <w:trPr/>
        <w:tc>
          <w:tcPr>
            <w:tcW w:w="126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Borrowings</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repayments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9"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9"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tcMar>
              <w:bottom w:w="0" w:type="dxa"/>
            </w:tcMar>
            <w:vAlign w:val="center"/>
          </w:tcPr>
          <w:p>
            <w:pPr>
              <w:pStyle w:val="TableContents"/>
              <w:bidi w:val="0"/>
              <w:spacing w:before="0" w:after="283"/>
              <w:jc w:val="left"/>
              <w:rPr/>
            </w:pPr>
            <w:r>
              <w:rPr/>
              <w:t> </w:t>
            </w:r>
          </w:p>
        </w:tc>
      </w:tr>
      <w:tr>
        <w:trPr/>
        <w:tc>
          <w:tcPr>
            <w:tcW w:w="12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8" w:type="dxa"/>
            <w:gridSpan w:val="2"/>
            <w:tcBorders/>
            <w:tcMar>
              <w:bottom w:w="0" w:type="dxa"/>
            </w:tcMar>
            <w:vAlign w:val="center"/>
          </w:tcPr>
          <w:p>
            <w:pPr>
              <w:pStyle w:val="TableContents"/>
              <w:bidi w:val="0"/>
              <w:spacing w:before="0" w:after="283"/>
              <w:jc w:val="center"/>
              <w:rPr>
                <w:b/>
              </w:rPr>
            </w:pPr>
            <w:r>
              <w:rPr>
                <w:b/>
              </w:rPr>
              <w:t>S$’000</w:t>
            </w:r>
          </w:p>
        </w:tc>
        <w:tc>
          <w:tcPr>
            <w:tcW w:w="61" w:type="dxa"/>
            <w:tcBorders/>
            <w:tcMar>
              <w:bottom w:w="0" w:type="dxa"/>
            </w:tcMar>
            <w:vAlign w:val="center"/>
          </w:tcPr>
          <w:p>
            <w:pPr>
              <w:pStyle w:val="TableContents"/>
              <w:bidi w:val="0"/>
              <w:spacing w:before="0" w:after="283"/>
              <w:jc w:val="left"/>
              <w:rPr/>
            </w:pPr>
            <w:r>
              <w:rPr/>
              <w:t> </w:t>
            </w:r>
          </w:p>
        </w:tc>
        <w:tc>
          <w:tcPr>
            <w:tcW w:w="61" w:type="dxa"/>
            <w:tcBorders/>
            <w:tcMar>
              <w:bottom w:w="0" w:type="dxa"/>
            </w:tcMar>
            <w:vAlign w:val="center"/>
          </w:tcPr>
          <w:p>
            <w:pPr>
              <w:pStyle w:val="TableContents"/>
              <w:bidi w:val="0"/>
              <w:spacing w:before="0" w:after="283"/>
              <w:jc w:val="left"/>
              <w:rPr/>
            </w:pPr>
            <w:r>
              <w:rPr/>
              <w:t> </w:t>
            </w:r>
          </w:p>
        </w:tc>
        <w:tc>
          <w:tcPr>
            <w:tcW w:w="889" w:type="dxa"/>
            <w:gridSpan w:val="2"/>
            <w:tcBorders/>
            <w:tcMar>
              <w:bottom w:w="0" w:type="dxa"/>
            </w:tcMar>
            <w:vAlign w:val="center"/>
          </w:tcPr>
          <w:p>
            <w:pPr>
              <w:pStyle w:val="TableContents"/>
              <w:bidi w:val="0"/>
              <w:spacing w:before="0" w:after="283"/>
              <w:jc w:val="center"/>
              <w:rPr>
                <w:b/>
              </w:rPr>
            </w:pPr>
            <w:r>
              <w:rPr>
                <w:b/>
              </w:rPr>
              <w:t>US$’000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center"/>
              <w:rPr>
                <w:b/>
              </w:rPr>
            </w:pPr>
            <w:r>
              <w:rPr>
                <w:b/>
              </w:rPr>
              <w:t>S$’000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9" w:type="dxa"/>
            <w:gridSpan w:val="2"/>
            <w:tcBorders/>
            <w:tcMar>
              <w:bottom w:w="0" w:type="dxa"/>
            </w:tcMar>
            <w:vAlign w:val="center"/>
          </w:tcPr>
          <w:p>
            <w:pPr>
              <w:pStyle w:val="TableContents"/>
              <w:bidi w:val="0"/>
              <w:spacing w:before="0" w:after="283"/>
              <w:jc w:val="center"/>
              <w:rPr>
                <w:b/>
              </w:rPr>
            </w:pPr>
            <w:r>
              <w:rPr>
                <w:b/>
              </w:rPr>
              <w:t>US$’000</w:t>
            </w:r>
          </w:p>
        </w:tc>
        <w:tc>
          <w:tcPr>
            <w:tcW w:w="75" w:type="dxa"/>
            <w:tcBorders/>
            <w:tcMar>
              <w:bottom w:w="0" w:type="dxa"/>
            </w:tcMar>
            <w:vAlign w:val="center"/>
          </w:tcPr>
          <w:p>
            <w:pPr>
              <w:pStyle w:val="TableContents"/>
              <w:bidi w:val="0"/>
              <w:spacing w:before="0" w:after="283"/>
              <w:jc w:val="left"/>
              <w:rPr/>
            </w:pPr>
            <w:r>
              <w:rPr/>
              <w:t> </w:t>
            </w:r>
          </w:p>
        </w:tc>
      </w:tr>
      <w:tr>
        <w:trPr/>
        <w:tc>
          <w:tcPr>
            <w:tcW w:w="1265" w:type="dxa"/>
            <w:tcBorders/>
            <w:shd w:fill="CCEEFF" w:val="clear"/>
            <w:tcMar>
              <w:bottom w:w="0" w:type="dxa"/>
            </w:tcMar>
            <w:vAlign w:val="center"/>
          </w:tcPr>
          <w:p>
            <w:pPr>
              <w:pStyle w:val="TableContents"/>
              <w:bidi w:val="0"/>
              <w:spacing w:before="0" w:after="283"/>
              <w:jc w:val="left"/>
              <w:rPr/>
            </w:pPr>
            <w:r>
              <w:rPr/>
              <w:t>Bills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915"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5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16,953</w:t>
            </w:r>
          </w:p>
        </w:tc>
        <w:tc>
          <w:tcPr>
            <w:tcW w:w="61"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18" w:type="dxa"/>
            <w:tcBorders/>
            <w:shd w:fill="CCEEFF" w:val="clear"/>
            <w:tcMar>
              <w:bottom w:w="0" w:type="dxa"/>
            </w:tcMar>
            <w:vAlign w:val="center"/>
          </w:tcPr>
          <w:p>
            <w:pPr>
              <w:pStyle w:val="TableContents"/>
              <w:bidi w:val="0"/>
              <w:spacing w:before="0" w:after="283"/>
              <w:jc w:val="right"/>
              <w:rPr/>
            </w:pPr>
            <w:r>
              <w:rPr/>
              <w:t>13,184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14,742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817" w:type="dxa"/>
            <w:tcBorders/>
            <w:shd w:fill="CCEEFF" w:val="clear"/>
            <w:tcMar>
              <w:bottom w:w="0" w:type="dxa"/>
            </w:tcMar>
            <w:vAlign w:val="center"/>
          </w:tcPr>
          <w:p>
            <w:pPr>
              <w:pStyle w:val="TableContents"/>
              <w:bidi w:val="0"/>
              <w:spacing w:before="0" w:after="283"/>
              <w:jc w:val="right"/>
              <w:rPr/>
            </w:pPr>
            <w:r>
              <w:rPr/>
              <w:t>11,392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6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697" w:type="dxa"/>
            <w:tcBorders/>
            <w:shd w:fill="FFFFFF" w:val="clear"/>
            <w:tcMar>
              <w:bottom w:w="0" w:type="dxa"/>
            </w:tcMar>
            <w:vAlign w:val="center"/>
          </w:tcPr>
          <w:p>
            <w:pPr>
              <w:pStyle w:val="TableContents"/>
              <w:bidi w:val="0"/>
              <w:spacing w:before="0" w:after="283"/>
              <w:jc w:val="right"/>
              <w:rPr>
                <w:b/>
              </w:rPr>
            </w:pPr>
            <w:r>
              <w:rPr>
                <w:b/>
              </w:rPr>
              <w:t>16,953</w:t>
            </w:r>
          </w:p>
        </w:tc>
        <w:tc>
          <w:tcPr>
            <w:tcW w:w="61"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18" w:type="dxa"/>
            <w:tcBorders/>
            <w:shd w:fill="FFFFFF" w:val="clear"/>
            <w:tcMar>
              <w:bottom w:w="0" w:type="dxa"/>
            </w:tcMar>
            <w:vAlign w:val="center"/>
          </w:tcPr>
          <w:p>
            <w:pPr>
              <w:pStyle w:val="TableContents"/>
              <w:bidi w:val="0"/>
              <w:spacing w:before="0" w:after="283"/>
              <w:jc w:val="right"/>
              <w:rPr>
                <w:b/>
              </w:rPr>
            </w:pPr>
            <w:r>
              <w:rPr>
                <w:b/>
              </w:rPr>
              <w:t>13,184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b/>
              </w:rPr>
            </w:pPr>
            <w:r>
              <w:rPr>
                <w:b/>
              </w:rPr>
              <w:t>14,742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817" w:type="dxa"/>
            <w:tcBorders/>
            <w:shd w:fill="FFFFFF" w:val="clear"/>
            <w:tcMar>
              <w:bottom w:w="0" w:type="dxa"/>
            </w:tcMar>
            <w:vAlign w:val="center"/>
          </w:tcPr>
          <w:p>
            <w:pPr>
              <w:pStyle w:val="TableContents"/>
              <w:bidi w:val="0"/>
              <w:spacing w:before="0" w:after="283"/>
              <w:jc w:val="right"/>
              <w:rPr>
                <w:b/>
              </w:rPr>
            </w:pPr>
            <w:r>
              <w:rPr>
                <w:b/>
              </w:rPr>
              <w:t>11,392</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bank borrowings majority of which are trade facilities were obtained from several financial institutions in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bank borrowings currently are guaranteed by personal guarantees from Mr. Jison Lim and corporate guarantee provided by Ten-League Corporations Pte Ltd, the controlling shareholder.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we did not have any 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board of directors of Ten-League International Holdings Limited, a Cayman Islands exempted company (the “Company”), approved a reverse share split of the Company’s ordinary shares at a ratio of 1-for-10 (the “Reverse Share Split”), such that (a) every ten (10) issued ordinary shares of a par value of $0.000025 each will be combined into one (1) issued ordinary share of a par value of $0.00025 each and (b) any fractional shares will be rounded to the nearest whole share. As a result, the Company’s authorized share capital will be adjusted to US$500,000 divided into 2,000,000,000 ordinary shares with a par value of US$0.00025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share split was approved by vote of the Company’s shareholders at its extraordinary meeting of shareholders meeting held on April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16 ordinary shares were issued for no consideration to shareholders whose fractional shares were rounded up to the nearest whole share following the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Minimum bid price deficiency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notice from The Nasdaq Stock Market LLC on September 9, 2025, stating that its share price had traded below the minimum bid price requirement of US$1.00 per share for 30 consecutive business days, resulting in non-compliance with Nasdaq Listing Rule 5550(a)(2). The company was initially given until March 9, 2026 to regain compliance but failed to do so and received a delisting determination on March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requested a hearing, and the hearing was set for April 16, 2026. On May 12, 2026, the Nasdaq Hearings Panel allowed the company to remain listed, provided it regained compliance by May 15,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successfully met the requirement and was formally notified on May 26, 2026 that it had regained compliance. However, the company will remain under a Mandatory Panel Monitor until May 26, 2027. During this monitoring period, any future failure to maintain the minimum bid price requirement could result in an immediate delisting determination without the benefit of a standard grace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June 30, 2026, we do not have any outstanding off-balance arrangements and have not entered into any material off-balance sheet transactions or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The Cayman Islands currently levies no taxes on individuals or corporations based upon profits, income, gains or appreciation and there is no taxation in the nature of estate duty or inheritance tax.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In addition, the Cayman Islands does not impose withholding tax on dividend payments.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(E&amp;T) and Ten-League (PES) are operating in Singapore and are subject to the Singapore tax law at the corporate tax rate at 17% on the assessable income arising in Singapore during its tax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the consolidated balance sheets, consolidated statements of operations and comprehensive income and consolidated statements of cash flows from S$ into US$ as of and for the six months ended June 30, 2026 are solely for the convenience of the reader and were calculated at the rate of US$0.7727 = S$1.00, as set forth in the statistical release of the Federal Reserve System on July 6, 2026. No representation is made that the S$ amounts could have been, or could be, converted, realized or settled into US$ at that rate on June 30, 2026,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during the six months ended June 30, 2025 and 2026, the Company was involved in certain transactions, either at cost or current market prices, and on normal commercial terms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transactions with these parties for the six months as presented:</w:t>
      </w:r>
    </w:p>
    <w:p>
      <w:pPr>
        <w:pStyle w:val="TextBody"/>
        <w:bidi w:val="0"/>
        <w:spacing w:before="0" w:after="0"/>
        <w:ind w:left="0" w:right="0" w:hanging="0"/>
        <w:jc w:val="both"/>
        <w:rPr>
          <w:caps w:val="false"/>
          <w:smallCaps w:val="false"/>
        </w:rPr>
      </w:pPr>
      <w:r>
        <w:rPr>
          <w:caps w:val="false"/>
          <w:smallCaps w:val="false"/>
        </w:rPr>
        <w:t> </w:t>
      </w:r>
    </w:p>
    <w:tbl>
      <w:tblPr>
        <w:tblW w:w="4687" w:type="dxa"/>
        <w:jc w:val="left"/>
        <w:tblInd w:w="0" w:type="dxa"/>
        <w:tblLayout w:type="fixed"/>
        <w:tblCellMar>
          <w:top w:w="0" w:type="dxa"/>
          <w:left w:w="0" w:type="dxa"/>
          <w:bottom w:w="0" w:type="dxa"/>
          <w:right w:w="0" w:type="dxa"/>
        </w:tblCellMar>
      </w:tblPr>
      <w:tblGrid>
        <w:gridCol w:w="3050"/>
        <w:gridCol w:w="60"/>
        <w:gridCol w:w="74"/>
        <w:gridCol w:w="603"/>
        <w:gridCol w:w="74"/>
        <w:gridCol w:w="74"/>
        <w:gridCol w:w="74"/>
        <w:gridCol w:w="603"/>
        <w:gridCol w:w="75"/>
      </w:tblGrid>
      <w:tr>
        <w:trPr/>
        <w:tc>
          <w:tcPr>
            <w:tcW w:w="305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2"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transactions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677"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Ten-League Corporations Pte. Ltd.</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fee charged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997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 of plant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Purchase of spare parts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Expenses paid on behalf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1,878</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Lease payments in respect of: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Factory premises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spare parts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60"/>
        <w:gridCol w:w="2090"/>
      </w:tblGrid>
      <w:tr>
        <w:trPr/>
        <w:tc>
          <w:tcPr>
            <w:tcW w:w="26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2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Controlling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transactions and balances detailed elsewhere in these accompanying consolidated financial statements, the Company has no other significant or material related party transactions during the period presented.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98"/>
        <w:gridCol w:w="60"/>
        <w:gridCol w:w="410"/>
        <w:gridCol w:w="60"/>
        <w:gridCol w:w="101"/>
        <w:gridCol w:w="833"/>
        <w:gridCol w:w="125"/>
        <w:gridCol w:w="60"/>
        <w:gridCol w:w="101"/>
        <w:gridCol w:w="929"/>
        <w:gridCol w:w="60"/>
        <w:gridCol w:w="60"/>
        <w:gridCol w:w="101"/>
        <w:gridCol w:w="929"/>
        <w:gridCol w:w="78"/>
      </w:tblGrid>
      <w:tr>
        <w:trPr/>
        <w:tc>
          <w:tcPr>
            <w:tcW w:w="6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 31,</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 30,</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S$’000</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15,761</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prepayments and 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2,996</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43,930</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25,544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33,137</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27,670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33,452</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27,938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77,382</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53,482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16,953</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11,392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6,606</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5,441</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50,512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31,978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10,171</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60,683</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39,220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 par value US$0.00025, 2,000,000,000 shares authorized, 2,940,451 ordinary shares issued and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10,921</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16,699</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14,262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77,382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53,482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denotes amount less than $’000.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On April 13, 2026, the Company effected a 1-for-10 reverse share spilt, whereby every ten (10) issued and outstanding ordinary shares were consolidated into one (1) ordinary share, with a corresponding increase in par value from $0.000025 to $0.00025 per share. All share and per share information presented in these financial statements have been retrospectively adjusted, where applicable, to reflect this share consolidation. The consolidation did not affect total shareholders’ equity. On May 1, 2026, 16 ordinary shares were issued for no consideration to shareholders whose fractional shares were rounded up to the nearest whole share following the reverse share split.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6"/>
        <w:gridCol w:w="60"/>
        <w:gridCol w:w="242"/>
        <w:gridCol w:w="243"/>
        <w:gridCol w:w="60"/>
        <w:gridCol w:w="60"/>
        <w:gridCol w:w="70"/>
        <w:gridCol w:w="1176"/>
        <w:gridCol w:w="95"/>
        <w:gridCol w:w="60"/>
        <w:gridCol w:w="70"/>
        <w:gridCol w:w="1176"/>
        <w:gridCol w:w="95"/>
        <w:gridCol w:w="60"/>
        <w:gridCol w:w="70"/>
        <w:gridCol w:w="1176"/>
        <w:gridCol w:w="116"/>
      </w:tblGrid>
      <w:tr>
        <w:trPr/>
        <w:tc>
          <w:tcPr>
            <w:tcW w:w="53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8" w:type="dxa"/>
            <w:gridSpan w:val="10"/>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116" w:type="dxa"/>
            <w:tcBorders/>
            <w:vAlign w:val="center"/>
          </w:tcPr>
          <w:p>
            <w:pPr>
              <w:pStyle w:val="TableContents"/>
              <w:bidi w:val="0"/>
              <w:spacing w:before="0" w:after="283"/>
              <w:jc w:val="left"/>
              <w:rPr/>
            </w:pPr>
            <w:r>
              <w:rPr/>
              <w:t> </w:t>
            </w:r>
          </w:p>
        </w:tc>
      </w:tr>
      <w:tr>
        <w:trPr/>
        <w:tc>
          <w:tcPr>
            <w:tcW w:w="5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pPr>
            <w:r>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r>
      <w:tr>
        <w:trPr/>
        <w:tc>
          <w:tcPr>
            <w:tcW w:w="5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US$’000</w:t>
            </w:r>
          </w:p>
        </w:tc>
        <w:tc>
          <w:tcPr>
            <w:tcW w:w="116" w:type="dxa"/>
            <w:tcBorders/>
            <w:vAlign w:val="center"/>
          </w:tcPr>
          <w:p>
            <w:pPr>
              <w:pStyle w:val="TableContents"/>
              <w:bidi w:val="0"/>
              <w:spacing w:before="0" w:after="283"/>
              <w:jc w:val="left"/>
              <w:rPr/>
            </w:pPr>
            <w:r>
              <w:rPr/>
              <w:t> </w:t>
            </w:r>
          </w:p>
        </w:tc>
      </w:tr>
      <w:tr>
        <w:trPr/>
        <w:tc>
          <w:tcPr>
            <w:tcW w:w="5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b/>
              </w:rPr>
            </w:pPr>
            <w:r>
              <w:rPr>
                <w:b/>
              </w:rPr>
              <w:t>(Unaudited)</w:t>
            </w:r>
          </w:p>
        </w:tc>
        <w:tc>
          <w:tcPr>
            <w:tcW w:w="116" w:type="dxa"/>
            <w:tcBorders/>
            <w:vAlign w:val="center"/>
          </w:tcPr>
          <w:p>
            <w:pPr>
              <w:pStyle w:val="TableContents"/>
              <w:bidi w:val="0"/>
              <w:spacing w:before="0" w:after="283"/>
              <w:jc w:val="left"/>
              <w:rPr/>
            </w:pPr>
            <w:r>
              <w:rPr/>
              <w:t> </w:t>
            </w:r>
          </w:p>
        </w:tc>
      </w:tr>
      <w:tr>
        <w:trPr/>
        <w:tc>
          <w:tcPr>
            <w:tcW w:w="53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b/>
              </w:rPr>
            </w:pPr>
            <w:r>
              <w:rPr>
                <w:b/>
              </w:rPr>
              <w:t>Revenues, net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37,687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33,095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25,574</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(28,840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(25,140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(19,427</w:t>
            </w:r>
          </w:p>
        </w:tc>
        <w:tc>
          <w:tcPr>
            <w:tcW w:w="116" w:type="dxa"/>
            <w:tcBorders/>
            <w:shd w:fill="CCEEFF" w:val="clear"/>
            <w:vAlign w:val="center"/>
          </w:tcPr>
          <w:p>
            <w:pPr>
              <w:pStyle w:val="TableContents"/>
              <w:bidi w:val="0"/>
              <w:spacing w:before="0" w:after="283"/>
              <w:jc w:val="left"/>
              <w:rPr/>
            </w:pPr>
            <w:r>
              <w:rPr/>
              <w:t>)</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8,847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7,955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6,147</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Operating cost and expenses: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Selling and distribution</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(381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(294</w:t>
            </w:r>
          </w:p>
        </w:tc>
        <w:tc>
          <w:tcPr>
            <w:tcW w:w="116" w:type="dxa"/>
            <w:tcBorders/>
            <w:shd w:fill="FFFFFF" w:val="clear"/>
            <w:vAlign w:val="center"/>
          </w:tcPr>
          <w:p>
            <w:pPr>
              <w:pStyle w:val="TableContents"/>
              <w:bidi w:val="0"/>
              <w:spacing w:before="0" w:after="283"/>
              <w:jc w:val="left"/>
              <w:rPr/>
            </w:pPr>
            <w:r>
              <w:rPr/>
              <w:t>)</w:t>
            </w:r>
          </w:p>
        </w:tc>
      </w:tr>
      <w:tr>
        <w:trPr/>
        <w:tc>
          <w:tcPr>
            <w:tcW w:w="5376"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(5,661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(5,223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(4,037</w:t>
            </w:r>
          </w:p>
        </w:tc>
        <w:tc>
          <w:tcPr>
            <w:tcW w:w="116" w:type="dxa"/>
            <w:tcBorders/>
            <w:shd w:fill="CCEEFF" w:val="clear"/>
            <w:vAlign w:val="center"/>
          </w:tcPr>
          <w:p>
            <w:pPr>
              <w:pStyle w:val="TableContents"/>
              <w:bidi w:val="0"/>
              <w:spacing w:before="0" w:after="283"/>
              <w:jc w:val="left"/>
              <w:rPr/>
            </w:pPr>
            <w:r>
              <w:rPr/>
              <w:t>)</w:t>
            </w:r>
          </w:p>
        </w:tc>
      </w:tr>
      <w:tr>
        <w:trPr/>
        <w:tc>
          <w:tcPr>
            <w:tcW w:w="5376" w:type="dxa"/>
            <w:tcBorders/>
            <w:shd w:fill="FFFFFF" w:val="clear"/>
            <w:vAlign w:val="center"/>
          </w:tcPr>
          <w:p>
            <w:pPr>
              <w:pStyle w:val="TableContents"/>
              <w:bidi w:val="0"/>
              <w:spacing w:before="0" w:after="283"/>
              <w:jc w:val="left"/>
              <w:rPr/>
            </w:pPr>
            <w:r>
              <w:rPr/>
              <w:t>Total operating cost and expenses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(5,967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(5,604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(4,331</w:t>
            </w:r>
          </w:p>
        </w:tc>
        <w:tc>
          <w:tcPr>
            <w:tcW w:w="116" w:type="dxa"/>
            <w:tcBorders/>
            <w:shd w:fill="FFFFFF" w:val="clear"/>
            <w:vAlign w:val="center"/>
          </w:tcPr>
          <w:p>
            <w:pPr>
              <w:pStyle w:val="TableContents"/>
              <w:bidi w:val="0"/>
              <w:spacing w:before="0" w:after="283"/>
              <w:jc w:val="left"/>
              <w:rPr/>
            </w:pPr>
            <w:r>
              <w:rPr/>
              <w:t>)</w:t>
            </w:r>
          </w:p>
        </w:tc>
      </w:tr>
      <w:tr>
        <w:trPr/>
        <w:tc>
          <w:tcPr>
            <w:tcW w:w="53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b/>
              </w:rPr>
            </w:pPr>
            <w:r>
              <w:rPr>
                <w:b/>
              </w:rPr>
              <w:t>Profit from operations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2,880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2,351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1,816</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(Loss)/Gain from disposal of plant and equipment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144</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(377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(291</w:t>
            </w:r>
          </w:p>
        </w:tc>
        <w:tc>
          <w:tcPr>
            <w:tcW w:w="116" w:type="dxa"/>
            <w:tcBorders/>
            <w:shd w:fill="CCEEFF" w:val="clear"/>
            <w:vAlign w:val="center"/>
          </w:tcPr>
          <w:p>
            <w:pPr>
              <w:pStyle w:val="TableContents"/>
              <w:bidi w:val="0"/>
              <w:spacing w:before="0" w:after="283"/>
              <w:jc w:val="left"/>
              <w:rPr/>
            </w:pPr>
            <w:r>
              <w:rPr/>
              <w:t>)</w:t>
            </w:r>
          </w:p>
        </w:tc>
      </w:tr>
      <w:tr>
        <w:trPr/>
        <w:tc>
          <w:tcPr>
            <w:tcW w:w="5376" w:type="dxa"/>
            <w:tcBorders/>
            <w:shd w:fill="FFFFFF" w:val="clear"/>
            <w:vAlign w:val="center"/>
          </w:tcPr>
          <w:p>
            <w:pPr>
              <w:pStyle w:val="TableContents"/>
              <w:bidi w:val="0"/>
              <w:spacing w:before="0" w:after="283"/>
              <w:jc w:val="left"/>
              <w:rPr/>
            </w:pPr>
            <w:r>
              <w:rPr/>
              <w:t>Government grant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4</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Exchange gain</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Total other gain/(loss), net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(75</w:t>
            </w:r>
          </w:p>
        </w:tc>
        <w:tc>
          <w:tcPr>
            <w:tcW w:w="116" w:type="dxa"/>
            <w:tcBorders/>
            <w:shd w:fill="CCEEFF" w:val="clear"/>
            <w:vAlign w:val="center"/>
          </w:tcPr>
          <w:p>
            <w:pPr>
              <w:pStyle w:val="TableContents"/>
              <w:bidi w:val="0"/>
              <w:spacing w:before="0" w:after="283"/>
              <w:jc w:val="left"/>
              <w:rPr/>
            </w:pPr>
            <w:r>
              <w:rPr/>
              <w:t>)</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2,253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1,741</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CCEEFF" w:val="clear"/>
            <w:tcMar>
              <w:bottom w:w="28" w:type="dxa"/>
            </w:tcMar>
            <w:vAlign w:val="center"/>
          </w:tcPr>
          <w:p>
            <w:pPr>
              <w:pStyle w:val="TableContents"/>
              <w:bidi w:val="0"/>
              <w:spacing w:before="0" w:after="283"/>
              <w:jc w:val="right"/>
              <w:rPr/>
            </w:pPr>
            <w:r>
              <w:rPr/>
              <w:t>(393</w:t>
            </w:r>
          </w:p>
        </w:tc>
        <w:tc>
          <w:tcPr>
            <w:tcW w:w="116" w:type="dxa"/>
            <w:tcBorders/>
            <w:shd w:fill="CCEEFF" w:val="clear"/>
            <w:vAlign w:val="center"/>
          </w:tcPr>
          <w:p>
            <w:pPr>
              <w:pStyle w:val="TableContents"/>
              <w:bidi w:val="0"/>
              <w:spacing w:before="0" w:after="283"/>
              <w:jc w:val="left"/>
              <w:rPr/>
            </w:pPr>
            <w:r>
              <w:rPr/>
              <w:t>)</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2,383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1,744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1,348</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b/>
              </w:rPr>
            </w:pPr>
            <w:r>
              <w:rPr>
                <w:b/>
              </w:rPr>
              <w:t>OTHER COMPREHENSIVE INCOME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b/>
              </w:rPr>
            </w:pPr>
            <w:r>
              <w:rPr>
                <w:b/>
              </w:rPr>
              <w:t>COMPREHENSIVE INCOME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2,383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1,757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1,358</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Net income per share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pPr>
            <w:r>
              <w:rPr/>
              <w:t>0.46</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376" w:type="dxa"/>
            <w:tcBorders/>
            <w:shd w:fill="CCEEFF" w:val="clear"/>
            <w:vAlign w:val="center"/>
          </w:tcPr>
          <w:p>
            <w:pPr>
              <w:pStyle w:val="TableContents"/>
              <w:bidi w:val="0"/>
              <w:spacing w:before="0" w:after="283"/>
              <w:jc w:val="left"/>
              <w:rPr/>
            </w:pPr>
            <w:r>
              <w:rPr/>
              <w:t>Weighted average number of ordinary shares outstanding</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376"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2,779,650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2,940,440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double" w:sz="6" w:space="0" w:color="000000"/>
            </w:tcBorders>
            <w:shd w:fill="FFFFFF" w:val="clear"/>
            <w:tcMar>
              <w:bottom w:w="28" w:type="dxa"/>
            </w:tcMar>
            <w:vAlign w:val="center"/>
          </w:tcPr>
          <w:p>
            <w:pPr>
              <w:pStyle w:val="TableContents"/>
              <w:bidi w:val="0"/>
              <w:spacing w:before="0" w:after="283"/>
              <w:jc w:val="right"/>
              <w:rPr/>
            </w:pPr>
            <w:r>
              <w:rPr/>
              <w:t>2,940,440</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On April 13, 2026, the Company effected a 1-for-10 reverse share spilt, whereby every ten (10) issued and outstanding ordinary shares were consolidated into one (1) ordinary share, with a corresponding increase in par value from $0.000025 to $0.00025 per share. All share and per share information presented in these financial statements have been retrospectively adjusted, where applicable, to reflect this share consolidation. The consolidation did not affect total shareholders’ equity. On May 1, 2026, 16 ordinary shares were issued for no consideration to shareholders whose fractional shares were rounded up to the nearest whole share following the reverse share split.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7"/>
        <w:gridCol w:w="60"/>
        <w:gridCol w:w="60"/>
        <w:gridCol w:w="980"/>
        <w:gridCol w:w="60"/>
        <w:gridCol w:w="60"/>
        <w:gridCol w:w="106"/>
        <w:gridCol w:w="994"/>
        <w:gridCol w:w="60"/>
        <w:gridCol w:w="60"/>
        <w:gridCol w:w="75"/>
        <w:gridCol w:w="860"/>
        <w:gridCol w:w="60"/>
        <w:gridCol w:w="60"/>
        <w:gridCol w:w="209"/>
        <w:gridCol w:w="906"/>
        <w:gridCol w:w="140"/>
        <w:gridCol w:w="60"/>
        <w:gridCol w:w="116"/>
        <w:gridCol w:w="1325"/>
        <w:gridCol w:w="157"/>
      </w:tblGrid>
      <w:tr>
        <w:trPr/>
        <w:tc>
          <w:tcPr>
            <w:tcW w:w="3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No.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jc w:val="center"/>
              <w:rPr>
                <w:b/>
              </w:rPr>
            </w:pPr>
            <w:r>
              <w:rPr>
                <w:b/>
              </w:rPr>
              <w:t>Additional</w:t>
            </w:r>
          </w:p>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jc w:val="center"/>
              <w:rPr>
                <w:b/>
              </w:rPr>
            </w:pPr>
            <w:r>
              <w:rPr>
                <w:b/>
              </w:rPr>
              <w:t>Currency</w:t>
            </w:r>
          </w:p>
          <w:p>
            <w:pPr>
              <w:pStyle w:val="TableContents"/>
              <w:bidi w:val="0"/>
              <w:spacing w:before="0" w:after="283"/>
              <w:jc w:val="center"/>
              <w:rPr>
                <w:b/>
              </w:rPr>
            </w:pPr>
            <w:r>
              <w:rPr>
                <w:b/>
              </w:rPr>
              <w:t>translation</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jc w:val="center"/>
              <w:rPr>
                <w:b/>
              </w:rPr>
            </w:pPr>
            <w:r>
              <w:rPr>
                <w:b/>
              </w:rPr>
              <w:t>Total</w:t>
            </w:r>
          </w:p>
          <w:p>
            <w:pPr>
              <w:pStyle w:val="TableContents"/>
              <w:bidi w:val="0"/>
              <w:spacing w:before="0" w:after="283"/>
              <w:jc w:val="center"/>
              <w:rPr>
                <w:b/>
              </w:rPr>
            </w:pPr>
            <w:r>
              <w:rPr>
                <w:b/>
              </w:rPr>
              <w:t>Shareholders’</w:t>
            </w:r>
          </w:p>
        </w:tc>
        <w:tc>
          <w:tcPr>
            <w:tcW w:w="157" w:type="dxa"/>
            <w:tcBorders/>
            <w:vAlign w:val="center"/>
          </w:tcPr>
          <w:p>
            <w:pPr>
              <w:pStyle w:val="TableContents"/>
              <w:bidi w:val="0"/>
              <w:spacing w:before="0" w:after="283"/>
              <w:jc w:val="left"/>
              <w:rPr/>
            </w:pPr>
            <w:r>
              <w:rPr/>
              <w:t> </w:t>
            </w:r>
          </w:p>
        </w:tc>
      </w:tr>
      <w:tr>
        <w:trPr/>
        <w:tc>
          <w:tcPr>
            <w:tcW w:w="3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57" w:type="dxa"/>
            <w:tcBorders/>
            <w:vAlign w:val="center"/>
          </w:tcPr>
          <w:p>
            <w:pPr>
              <w:pStyle w:val="TableContents"/>
              <w:bidi w:val="0"/>
              <w:spacing w:before="0" w:after="283"/>
              <w:jc w:val="left"/>
              <w:rPr/>
            </w:pPr>
            <w:r>
              <w:rPr/>
              <w:t> </w:t>
            </w:r>
          </w:p>
        </w:tc>
      </w:tr>
      <w:tr>
        <w:trPr/>
        <w:tc>
          <w:tcPr>
            <w:tcW w:w="37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S$’000</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center"/>
              <w:rPr>
                <w:b/>
              </w:rPr>
            </w:pPr>
            <w:r>
              <w:rPr>
                <w:b/>
              </w:rPr>
              <w:t>S$’000</w:t>
            </w:r>
          </w:p>
        </w:tc>
        <w:tc>
          <w:tcPr>
            <w:tcW w:w="157" w:type="dxa"/>
            <w:tcBorders/>
            <w:vAlign w:val="center"/>
          </w:tcPr>
          <w:p>
            <w:pPr>
              <w:pStyle w:val="TableContents"/>
              <w:bidi w:val="0"/>
              <w:spacing w:before="0" w:after="283"/>
              <w:jc w:val="left"/>
              <w:rPr/>
            </w:pPr>
            <w:r>
              <w:rPr/>
              <w:t> </w:t>
            </w:r>
          </w:p>
        </w:tc>
      </w:tr>
      <w:tr>
        <w:trPr/>
        <w:tc>
          <w:tcPr>
            <w:tcW w:w="3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283"/>
              <w:jc w:val="left"/>
              <w:rPr/>
            </w:pPr>
            <w:r>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2,779,651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6,218</w:t>
            </w:r>
          </w:p>
        </w:tc>
        <w:tc>
          <w:tcPr>
            <w:tcW w:w="157"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New shares 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160,784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4,895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4,895</w:t>
            </w:r>
          </w:p>
        </w:tc>
        <w:tc>
          <w:tcPr>
            <w:tcW w:w="157"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283"/>
              <w:jc w:val="left"/>
              <w:rPr/>
            </w:pPr>
            <w:r>
              <w:rPr/>
              <w:t>Net income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5,586</w:t>
            </w:r>
          </w:p>
        </w:tc>
        <w:tc>
          <w:tcPr>
            <w:tcW w:w="157"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w:t>
            </w:r>
          </w:p>
        </w:tc>
      </w:tr>
      <w:tr>
        <w:trPr/>
        <w:tc>
          <w:tcPr>
            <w:tcW w:w="3797"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2,940,435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pPr>
            <w:r>
              <w:rPr/>
              <w:t>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CCEEFF" w:val="clear"/>
            <w:tcMar>
              <w:bottom w:w="28" w:type="dxa"/>
            </w:tcMar>
            <w:vAlign w:val="center"/>
          </w:tcPr>
          <w:p>
            <w:pPr>
              <w:pStyle w:val="TableContents"/>
              <w:bidi w:val="0"/>
              <w:spacing w:before="0" w:after="283"/>
              <w:jc w:val="right"/>
              <w:rPr/>
            </w:pPr>
            <w:r>
              <w:rPr/>
              <w:t>10,921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pPr>
            <w:r>
              <w:rPr/>
              <w:t>16,699</w:t>
            </w:r>
          </w:p>
        </w:tc>
        <w:tc>
          <w:tcPr>
            <w:tcW w:w="157"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283"/>
              <w:jc w:val="left"/>
              <w:rPr/>
            </w:pPr>
            <w:r>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2,940,435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10,921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16,699</w:t>
            </w:r>
          </w:p>
        </w:tc>
        <w:tc>
          <w:tcPr>
            <w:tcW w:w="157"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New shares 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283"/>
              <w:jc w:val="left"/>
              <w:rPr/>
            </w:pPr>
            <w:r>
              <w:rPr/>
              <w:t>Net income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1,744</w:t>
            </w:r>
          </w:p>
        </w:tc>
        <w:tc>
          <w:tcPr>
            <w:tcW w:w="157" w:type="dxa"/>
            <w:tcBorders/>
            <w:shd w:fill="CCEEFF" w:val="clear"/>
            <w:vAlign w:val="center"/>
          </w:tcPr>
          <w:p>
            <w:pPr>
              <w:pStyle w:val="TableContents"/>
              <w:bidi w:val="0"/>
              <w:spacing w:before="0" w:after="283"/>
              <w:jc w:val="left"/>
              <w:rPr/>
            </w:pPr>
            <w:r>
              <w:rPr/>
              <w:t> </w:t>
            </w:r>
          </w:p>
        </w:tc>
      </w:tr>
      <w:tr>
        <w:trPr/>
        <w:tc>
          <w:tcPr>
            <w:tcW w:w="3797"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57" w:type="dxa"/>
            <w:tcBorders/>
            <w:shd w:fill="FFFFFF" w:val="clear"/>
            <w:vAlign w:val="center"/>
          </w:tcPr>
          <w:p>
            <w:pPr>
              <w:pStyle w:val="TableContents"/>
              <w:bidi w:val="0"/>
              <w:spacing w:before="0" w:after="283"/>
              <w:jc w:val="left"/>
              <w:rPr/>
            </w:pPr>
            <w:r>
              <w:rPr/>
              <w:t> </w:t>
            </w:r>
          </w:p>
        </w:tc>
      </w:tr>
      <w:tr>
        <w:trPr/>
        <w:tc>
          <w:tcPr>
            <w:tcW w:w="3797" w:type="dxa"/>
            <w:tcBorders/>
            <w:shd w:fill="CCEEFF" w:val="clear"/>
            <w:vAlign w:val="center"/>
          </w:tcPr>
          <w:p>
            <w:pPr>
              <w:pStyle w:val="TableContents"/>
              <w:bidi w:val="0"/>
              <w:spacing w:before="0" w:after="283"/>
              <w:jc w:val="left"/>
              <w:rPr/>
            </w:pPr>
            <w:r>
              <w:rPr/>
              <w:t>Balance as of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2,940,451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pPr>
            <w:r>
              <w:rPr/>
              <w:t>5,778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12,665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double" w:sz="6" w:space="0" w:color="000000"/>
            </w:tcBorders>
            <w:shd w:fill="CCEEFF" w:val="clear"/>
            <w:tcMar>
              <w:bottom w:w="28" w:type="dxa"/>
            </w:tcMar>
            <w:vAlign w:val="center"/>
          </w:tcPr>
          <w:p>
            <w:pPr>
              <w:pStyle w:val="TableContents"/>
              <w:bidi w:val="0"/>
              <w:spacing w:before="0" w:after="283"/>
              <w:jc w:val="right"/>
              <w:rPr/>
            </w:pPr>
            <w:r>
              <w:rPr/>
              <w:t>13</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pPr>
            <w:r>
              <w:rPr/>
              <w:t>18,456</w:t>
            </w:r>
          </w:p>
        </w:tc>
        <w:tc>
          <w:tcPr>
            <w:tcW w:w="15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denotes amount less than $’000.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On April 13, 2026, the Company effected a 1-for-10 reverse share spilt, whereby every ten (10) issued and outstanding ordinary shares were consolidated into one (1) ordinary share, with a corresponding increase in par value from $0.000025 to $0.00025 per share. All share and per share information presented in these financial statements have been retrospectively adjusted, where applicable, to reflect this share consolidation. The consolidation did not affect total shareholders’ equity. On May 1, 2026, 16 ordinary shares were issued for no consideration to shareholders whose fractional shares were rounded up to the nearest whole share following the reverse share split.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39"/>
        <w:gridCol w:w="60"/>
        <w:gridCol w:w="99"/>
        <w:gridCol w:w="1129"/>
        <w:gridCol w:w="95"/>
        <w:gridCol w:w="60"/>
        <w:gridCol w:w="99"/>
        <w:gridCol w:w="1129"/>
        <w:gridCol w:w="95"/>
        <w:gridCol w:w="60"/>
        <w:gridCol w:w="105"/>
        <w:gridCol w:w="1123"/>
        <w:gridCol w:w="112"/>
      </w:tblGrid>
      <w:tr>
        <w:trPr/>
        <w:tc>
          <w:tcPr>
            <w:tcW w:w="6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94" w:type="dxa"/>
            <w:gridSpan w:val="10"/>
            <w:tcBorders>
              <w:bottom w:val="single" w:sz="8"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112" w:type="dxa"/>
            <w:tcBorders/>
            <w:vAlign w:val="center"/>
          </w:tcPr>
          <w:p>
            <w:pPr>
              <w:pStyle w:val="TableContents"/>
              <w:bidi w:val="0"/>
              <w:spacing w:before="0" w:after="283"/>
              <w:jc w:val="left"/>
              <w:rPr/>
            </w:pPr>
            <w:r>
              <w:rPr/>
              <w:t> </w:t>
            </w:r>
          </w:p>
        </w:tc>
      </w:tr>
      <w:tr>
        <w:trPr/>
        <w:tc>
          <w:tcPr>
            <w:tcW w:w="6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r>
      <w:tr>
        <w:trPr/>
        <w:tc>
          <w:tcPr>
            <w:tcW w:w="6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S$’000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US$’000</w:t>
            </w:r>
          </w:p>
        </w:tc>
        <w:tc>
          <w:tcPr>
            <w:tcW w:w="112" w:type="dxa"/>
            <w:tcBorders/>
            <w:vAlign w:val="center"/>
          </w:tcPr>
          <w:p>
            <w:pPr>
              <w:pStyle w:val="TableContents"/>
              <w:bidi w:val="0"/>
              <w:spacing w:before="0" w:after="283"/>
              <w:jc w:val="left"/>
              <w:rPr/>
            </w:pPr>
            <w:r>
              <w:rPr/>
              <w:t> </w:t>
            </w:r>
          </w:p>
        </w:tc>
      </w:tr>
      <w:tr>
        <w:trPr/>
        <w:tc>
          <w:tcPr>
            <w:tcW w:w="6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b/>
              </w:rPr>
            </w:pPr>
            <w:r>
              <w:rPr>
                <w:b/>
              </w:rPr>
              <w:t>(Unaudited)</w:t>
            </w:r>
          </w:p>
        </w:tc>
        <w:tc>
          <w:tcPr>
            <w:tcW w:w="112" w:type="dxa"/>
            <w:tcBorders/>
            <w:vAlign w:val="center"/>
          </w:tcPr>
          <w:p>
            <w:pPr>
              <w:pStyle w:val="TableContents"/>
              <w:bidi w:val="0"/>
              <w:spacing w:before="0" w:after="283"/>
              <w:jc w:val="left"/>
              <w:rPr/>
            </w:pPr>
            <w:r>
              <w:rPr/>
              <w:t> </w:t>
            </w:r>
          </w:p>
        </w:tc>
      </w:tr>
      <w:tr>
        <w:trPr/>
        <w:tc>
          <w:tcPr>
            <w:tcW w:w="6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1,348</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2,020</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Depreciation of right-of-use assets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Change in working capital:</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1,582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2,525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1,951</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(441</w:t>
            </w:r>
          </w:p>
        </w:tc>
        <w:tc>
          <w:tcPr>
            <w:tcW w:w="112" w:type="dxa"/>
            <w:tcBorders/>
            <w:shd w:fill="CCEEFF" w:val="clear"/>
            <w:vAlign w:val="center"/>
          </w:tcPr>
          <w:p>
            <w:pPr>
              <w:pStyle w:val="TableContents"/>
              <w:bidi w:val="0"/>
              <w:spacing w:before="0" w:after="283"/>
              <w:jc w:val="left"/>
              <w:rPr/>
            </w:pPr>
            <w:r>
              <w:rPr/>
              <w:t>)</w:t>
            </w:r>
          </w:p>
        </w:tc>
      </w:tr>
      <w:tr>
        <w:trPr/>
        <w:tc>
          <w:tcPr>
            <w:tcW w:w="6039"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10,991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8,493</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Related parties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(459</w:t>
            </w:r>
          </w:p>
        </w:tc>
        <w:tc>
          <w:tcPr>
            <w:tcW w:w="112" w:type="dxa"/>
            <w:tcBorders/>
            <w:shd w:fill="CCEEFF" w:val="clear"/>
            <w:vAlign w:val="center"/>
          </w:tcPr>
          <w:p>
            <w:pPr>
              <w:pStyle w:val="TableContents"/>
              <w:bidi w:val="0"/>
              <w:spacing w:before="0" w:after="283"/>
              <w:jc w:val="left"/>
              <w:rPr/>
            </w:pPr>
            <w:r>
              <w:rPr/>
              <w:t>)</w:t>
            </w:r>
          </w:p>
        </w:tc>
      </w:tr>
      <w:tr>
        <w:trPr/>
        <w:tc>
          <w:tcPr>
            <w:tcW w:w="6039" w:type="dxa"/>
            <w:tcBorders/>
            <w:shd w:fill="FFFFFF" w:val="clear"/>
            <w:vAlign w:val="center"/>
          </w:tcPr>
          <w:p>
            <w:pPr>
              <w:pStyle w:val="TableContents"/>
              <w:bidi w:val="0"/>
              <w:spacing w:before="0" w:after="283"/>
              <w:jc w:val="left"/>
              <w:rPr/>
            </w:pPr>
            <w:r>
              <w:rPr/>
              <w:t>Accounts payable and accrued liabilities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(6,804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(5,258</w:t>
            </w:r>
          </w:p>
        </w:tc>
        <w:tc>
          <w:tcPr>
            <w:tcW w:w="112" w:type="dxa"/>
            <w:tcBorders/>
            <w:shd w:fill="FFFFFF" w:val="clear"/>
            <w:vAlign w:val="center"/>
          </w:tcPr>
          <w:p>
            <w:pPr>
              <w:pStyle w:val="TableContents"/>
              <w:bidi w:val="0"/>
              <w:spacing w:before="0" w:after="283"/>
              <w:jc w:val="left"/>
              <w:rPr/>
            </w:pPr>
            <w:r>
              <w:rPr/>
              <w:t>)</w:t>
            </w:r>
          </w:p>
        </w:tc>
      </w:tr>
      <w:tr>
        <w:trPr/>
        <w:tc>
          <w:tcPr>
            <w:tcW w:w="6039"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35</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10,025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9,952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7,691</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Repayment from finance lease receivables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337</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(7,572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(5,851</w:t>
            </w:r>
          </w:p>
        </w:tc>
        <w:tc>
          <w:tcPr>
            <w:tcW w:w="112" w:type="dxa"/>
            <w:tcBorders/>
            <w:shd w:fill="CCEEFF" w:val="clear"/>
            <w:vAlign w:val="center"/>
          </w:tcPr>
          <w:p>
            <w:pPr>
              <w:pStyle w:val="TableContents"/>
              <w:bidi w:val="0"/>
              <w:spacing w:before="0" w:after="283"/>
              <w:jc w:val="left"/>
              <w:rPr/>
            </w:pPr>
            <w:r>
              <w:rPr/>
              <w:t>)</w:t>
            </w:r>
          </w:p>
        </w:tc>
      </w:tr>
      <w:tr>
        <w:trPr/>
        <w:tc>
          <w:tcPr>
            <w:tcW w:w="6039" w:type="dxa"/>
            <w:tcBorders/>
            <w:shd w:fill="FFFFFF" w:val="clear"/>
            <w:vAlign w:val="center"/>
          </w:tcPr>
          <w:p>
            <w:pPr>
              <w:pStyle w:val="TableContents"/>
              <w:bidi w:val="0"/>
              <w:spacing w:before="0" w:after="283"/>
              <w:jc w:val="left"/>
              <w:rPr/>
            </w:pPr>
            <w:r>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(7,136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(5,514</w:t>
            </w:r>
          </w:p>
        </w:tc>
        <w:tc>
          <w:tcPr>
            <w:tcW w:w="112" w:type="dxa"/>
            <w:tcBorders/>
            <w:shd w:fill="FFFFFF" w:val="clear"/>
            <w:vAlign w:val="center"/>
          </w:tcPr>
          <w:p>
            <w:pPr>
              <w:pStyle w:val="TableContents"/>
              <w:bidi w:val="0"/>
              <w:spacing w:before="0" w:after="283"/>
              <w:jc w:val="left"/>
              <w:rPr/>
            </w:pPr>
            <w:r>
              <w:rPr/>
              <w:t>)</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Proceeds of bank borrowings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1,147</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Deferred IPO expenses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(923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Repayment of bank borrowings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Principal repayment of lease liabilities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(4,057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(3,135</w:t>
            </w:r>
          </w:p>
        </w:tc>
        <w:tc>
          <w:tcPr>
            <w:tcW w:w="112" w:type="dxa"/>
            <w:tcBorders/>
            <w:shd w:fill="FFFFFF" w:val="clear"/>
            <w:vAlign w:val="center"/>
          </w:tcPr>
          <w:p>
            <w:pPr>
              <w:pStyle w:val="TableContents"/>
              <w:bidi w:val="0"/>
              <w:spacing w:before="0" w:after="283"/>
              <w:jc w:val="left"/>
              <w:rPr/>
            </w:pPr>
            <w:r>
              <w:rPr/>
              <w:t>)</w:t>
            </w:r>
          </w:p>
        </w:tc>
      </w:tr>
      <w:tr>
        <w:trPr/>
        <w:tc>
          <w:tcPr>
            <w:tcW w:w="6039" w:type="dxa"/>
            <w:tcBorders/>
            <w:shd w:fill="CCEEFF" w:val="clear"/>
            <w:vAlign w:val="center"/>
          </w:tcPr>
          <w:p>
            <w:pPr>
              <w:pStyle w:val="TableContents"/>
              <w:bidi w:val="0"/>
              <w:spacing w:before="0" w:after="283"/>
              <w:jc w:val="left"/>
              <w:rPr/>
            </w:pPr>
            <w:r>
              <w:rPr/>
              <w:t>Payment of deferred financing costs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12" w:type="dxa"/>
            <w:tcBorders/>
            <w:shd w:fill="CCEEFF" w:val="clear"/>
            <w:vAlign w:val="center"/>
          </w:tcPr>
          <w:p>
            <w:pPr>
              <w:pStyle w:val="TableContents"/>
              <w:bidi w:val="0"/>
              <w:spacing w:before="0" w:after="283"/>
              <w:jc w:val="left"/>
              <w:rPr/>
            </w:pPr>
            <w:r>
              <w:rPr/>
              <w:t>)</w:t>
            </w:r>
          </w:p>
        </w:tc>
      </w:tr>
      <w:tr>
        <w:trPr/>
        <w:tc>
          <w:tcPr>
            <w:tcW w:w="6039"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(5,729 </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(2,575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(1,990</w:t>
            </w:r>
          </w:p>
        </w:tc>
        <w:tc>
          <w:tcPr>
            <w:tcW w:w="112" w:type="dxa"/>
            <w:tcBorders/>
            <w:shd w:fill="FFFFFF" w:val="clear"/>
            <w:vAlign w:val="center"/>
          </w:tcPr>
          <w:p>
            <w:pPr>
              <w:pStyle w:val="TableContents"/>
              <w:bidi w:val="0"/>
              <w:spacing w:before="0" w:after="283"/>
              <w:jc w:val="left"/>
              <w:rPr/>
            </w:pPr>
            <w:r>
              <w:rPr/>
              <w:t>)</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Effect on exchange rate change on balances held in foreign currency</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b/>
              </w:rPr>
            </w:pPr>
            <w:r>
              <w:rPr>
                <w:b/>
              </w:rPr>
              <w:t>Net change in cash and cash equivalent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196</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b/>
              </w:rPr>
            </w:pPr>
            <w:r>
              <w:rPr>
                <w:b/>
              </w:rPr>
              <w:t>BEGINNING OF PERIOD</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10,684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8,256</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b/>
              </w:rPr>
            </w:pPr>
            <w:r>
              <w:rPr>
                <w:b/>
              </w:rPr>
              <w:t>END OF PERIOD</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5,164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10,938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8,452</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359</w:t>
            </w:r>
          </w:p>
        </w:tc>
        <w:tc>
          <w:tcPr>
            <w:tcW w:w="112" w:type="dxa"/>
            <w:tcBorders/>
            <w:shd w:fill="CCEEFF" w:val="clear"/>
            <w:vAlign w:val="center"/>
          </w:tcPr>
          <w:p>
            <w:pPr>
              <w:pStyle w:val="TableContents"/>
              <w:bidi w:val="0"/>
              <w:spacing w:before="0" w:after="283"/>
              <w:jc w:val="left"/>
              <w:rPr/>
            </w:pPr>
            <w:r>
              <w:rPr/>
              <w:t> </w:t>
            </w:r>
          </w:p>
        </w:tc>
      </w:tr>
      <w:tr>
        <w:trPr/>
        <w:tc>
          <w:tcPr>
            <w:tcW w:w="6039"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291</w:t>
            </w:r>
          </w:p>
        </w:tc>
        <w:tc>
          <w:tcPr>
            <w:tcW w:w="112" w:type="dxa"/>
            <w:tcBorders/>
            <w:shd w:fill="FFFFFF" w:val="clear"/>
            <w:vAlign w:val="center"/>
          </w:tcPr>
          <w:p>
            <w:pPr>
              <w:pStyle w:val="TableContents"/>
              <w:bidi w:val="0"/>
              <w:spacing w:before="0" w:after="283"/>
              <w:jc w:val="left"/>
              <w:rPr/>
            </w:pPr>
            <w:r>
              <w:rPr/>
              <w:t> </w:t>
            </w:r>
          </w:p>
        </w:tc>
      </w:tr>
      <w:tr>
        <w:trPr/>
        <w:tc>
          <w:tcPr>
            <w:tcW w:w="6039" w:type="dxa"/>
            <w:tcBorders/>
            <w:shd w:fill="CCEEFF" w:val="clear"/>
            <w:vAlign w:val="center"/>
          </w:tcPr>
          <w:p>
            <w:pPr>
              <w:pStyle w:val="TableContents"/>
              <w:bidi w:val="0"/>
              <w:spacing w:before="0" w:after="283"/>
              <w:jc w:val="left"/>
              <w:rPr/>
            </w:pPr>
            <w:r>
              <w:rPr/>
              <w:t>Cash received from finance lease receivable interest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(143</w:t>
            </w:r>
          </w:p>
        </w:tc>
        <w:tc>
          <w:tcPr>
            <w:tcW w:w="112" w:type="dxa"/>
            <w:tcBorders/>
            <w:shd w:fill="CCEEFF" w:val="clear"/>
            <w:vAlign w:val="center"/>
          </w:tcPr>
          <w:p>
            <w:pPr>
              <w:pStyle w:val="TableContents"/>
              <w:bidi w:val="0"/>
              <w:spacing w:before="0" w:after="283"/>
              <w:jc w:val="left"/>
              <w:rPr/>
            </w:pPr>
            <w:r>
              <w:rPr/>
              <w:t>)</w:t>
            </w:r>
          </w:p>
        </w:tc>
      </w:tr>
      <w:tr>
        <w:trPr/>
        <w:tc>
          <w:tcPr>
            <w:tcW w:w="6039" w:type="dxa"/>
            <w:tcBorders/>
            <w:shd w:fill="FFFFFF" w:val="clear"/>
            <w:vAlign w:val="center"/>
          </w:tcPr>
          <w:p>
            <w:pPr>
              <w:pStyle w:val="TableContents"/>
              <w:bidi w:val="0"/>
              <w:spacing w:before="0" w:after="283"/>
              <w:jc w:val="left"/>
              <w:rPr/>
            </w:pPr>
            <w:r>
              <w:rPr/>
              <w:t>Operating lease asset obtained in exchange for operating lease obligations</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4" w:name="ex99-2.htm"/>
      <w:bookmarkStart w:id="5" w:name="ks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 Reports Unaudited Financial Results for the First Six Months of Fiscal Year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 30 2026 (GLOBE NEWSWIRE) — Ten-League International Holdings Limited (Nasdaq: TLIH) (the “Company” or “Ten-League”), a Singapore-based provider of turnkey project solutions, today announced its unaudited 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Six Months of Fiscal Year 2026 Financial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w:t>
            </w:r>
            <w:r>
              <w:rPr>
                <w:rFonts w:ascii="Times New Roman;Times;Serif" w:hAnsi="Times New Roman;Times;Serif"/>
                <w:b w:val="false"/>
                <w:i w:val="false"/>
                <w:caps w:val="false"/>
                <w:smallCaps w:val="false"/>
                <w:sz w:val="20"/>
              </w:rPr>
              <w:t xml:space="preserve"> was S$33.1 million (US$25.6 million) for the six months ended June 30, 2026, with engineering consultancy service income and rental income together contributing 45.4% of total revenue, compared with 18.5% in the same period last year, reflecting continued progress in the Company’s transition towards higher-value engineering solutions and recurring rental activities.</w:t>
            </w:r>
          </w:p>
        </w:tc>
      </w:tr>
    </w:tbl>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Growth businesses</w:t>
            </w:r>
            <w:r>
              <w:rPr>
                <w:rFonts w:ascii="Times New Roman;Times;Serif" w:hAnsi="Times New Roman;Times;Serif"/>
                <w:b w:val="false"/>
                <w:i w:val="false"/>
                <w:caps w:val="false"/>
                <w:smallCaps w:val="false"/>
                <w:sz w:val="20"/>
              </w:rPr>
              <w:t xml:space="preserve"> gained scale, with engineering consultancy service income increasing 669.4% to S$8.6 million (US$6.6 million) and rental income increasing 9.9% to S$6.4 million (US$5.0 million).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 margin</w:t>
            </w:r>
            <w:r>
              <w:rPr>
                <w:rFonts w:ascii="Times New Roman;Times;Serif" w:hAnsi="Times New Roman;Times;Serif"/>
                <w:b w:val="false"/>
                <w:i w:val="false"/>
                <w:caps w:val="false"/>
                <w:smallCaps w:val="false"/>
                <w:sz w:val="20"/>
              </w:rPr>
              <w:t xml:space="preserve"> was 24.0% for the six months ended June 30, 2026, an increase of 0.5 percentage points from 23.5% for the same period last year.</w:t>
            </w:r>
          </w:p>
        </w:tc>
      </w:tr>
    </w:tbl>
    <w:p>
      <w:pPr>
        <w:pStyle w:val="TextBody"/>
        <w:shd w:fill="FFFFFF" w:val="clear"/>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cash provided by operating activities</w:t>
            </w:r>
            <w:r>
              <w:rPr>
                <w:rFonts w:ascii="Times New Roman;Times;Serif" w:hAnsi="Times New Roman;Times;Serif"/>
                <w:b w:val="false"/>
                <w:i w:val="false"/>
                <w:caps w:val="false"/>
                <w:smallCaps w:val="false"/>
                <w:sz w:val="20"/>
              </w:rPr>
              <w:t xml:space="preserve"> remained strong at S$10.0 million (US$7.7 million), broadly consistent with the same period last year, supporting continued investment in the Company’s strategic priorities.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Financial position</w:t>
            </w:r>
            <w:r>
              <w:rPr>
                <w:rFonts w:ascii="Times New Roman;Times;Serif" w:hAnsi="Times New Roman;Times;Serif"/>
                <w:b w:val="false"/>
                <w:i w:val="false"/>
                <w:caps w:val="false"/>
                <w:smallCaps w:val="false"/>
                <w:sz w:val="20"/>
              </w:rPr>
              <w:t xml:space="preserve"> remained sound, with cash and cash equivalents of S$10.9 million (US$8.5 million) and shareholders’ equity increasing to S$18.5 million (US$14.3 million) as of June 30,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Jison Lim, Chief Executive Officer and Chairman of Ten-League, commented, “The first half of fiscal year 2026 demonstrated meaningful progress in reshaping our revenue mix towards engineering-led solutions and recurring rental activities amid evolving market conditions. Engineering consultancy services and rental together represented 45.4% of total revenue, compared with 18.5% in the same period last year. This shift reflects the increasing contribution from our strategic focus areas, including new energy infrastructure, automation and integrated engineering solutions. The delivery and acceptance of 30 electric prime movers (“ePM”) supported significant growth in engineering consultancy service income, while rental income continued to expand. Despite softer equipment sales, gross profit margin improved to 24.0%, demonstrating the resilience of our evolving business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Lim continued, “Looking ahead, we remain focused on advancing our strategic priorities across new energy infrastructure, automation, and engineering. We will continue to enhance our engineering capabilities and provide solutions that support customers’ operational efficiency and transition toward more sustainable equipment and infrastructure. At the same time, we remain committed to fostering strategic collaborations and strengthening our network of business partners. We believe these initiatives will position Ten-League to capture emerging opportunities as Singapore’s infrastructure and industrial sectors continue to evolve, while creating sustainable long-term value for our shareholders.”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Six Months of Fiscal Year 2026 Unaudited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were S$33.1 million (US$25.6 million) for the six months ended June 30, 2026. The revenue mix continued to shift towards engineering consultancy services and rental activities, which together contributed 45.4% of total revenue, compared with 18.5% for the same period last year. This change reflects the Company’s ongoing transition from primarily equipment sales towards a broader portfolio of engineering-led, new energy and recurring rental 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heavy equipment and parts contributed 54.6% of total revenue for the six months ended June 30, 2026, compared with 81.5% for the same period last year, as contractors made greater use of rental equipment, delayed fleet replacement following significant fleet expansion over the preceding two years, and operated in a market with an oversupply of used equipment. Sales of heavy equipment and parts were S$18.1 million (US$14.0 million) for the six months ended June 30, 2026, a decrease of 41.1% from S$30.7 million for the same period last year.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Engineering consultancy service income was S$8.6 million (US$6.6 million) for the six months ended June 30, 2026, representing 25.9% of total revenue, compared with 3.0% for the same period last year. The increase of 669.4% was mainly due to the delivery and acceptance of 30 ePM and demonstrated the Company’s increasing commercialization of engineering and new energy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income increased 9.9% to S$6.4 million (US$5.0 million) for the six months ended June 30, 2026, and represented 19.5% of total revenue, compared with 15.5% for the same period last year. The increase reflected stronger rental demand amid economic uncertainty and high financing costs, reinforcing the contribution from recurring rental activities.</w:t>
            </w:r>
          </w:p>
        </w:tc>
      </w:tr>
    </w:tbl>
    <w:p>
      <w:pPr>
        <w:pStyle w:val="TextBody"/>
        <w:bidi w:val="0"/>
        <w:spacing w:before="0" w:after="0"/>
        <w:ind w:left="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was S$25.1 million (US$19.4 million) for the six months ended June 30, 2026, a decrease of 12.8% from S$28.8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S$8.0  million (US$6.1 million) for the six months ended June 30, 2026, a decrease of 10.1% from S$8.8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was 24.0% for the six months ended June 30, 2026, an increase of 0.5 percentage points from 23.5%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sales of heavy equipment and parts was 15.0% for the six months ended June 30, 2026, an increase of 0.2 percentage points from 14.8% for the same period last year. The increase was mainly due to better product mix and margin even though absolute sales value decreased.</w:t>
            </w:r>
          </w:p>
        </w:tc>
      </w:tr>
    </w:tbl>
    <w:p>
      <w:pPr>
        <w:pStyle w:val="TextBody"/>
        <w:shd w:fill="FFFFFF" w:val="clear"/>
        <w:bidi w:val="0"/>
        <w:spacing w:before="0" w:after="0"/>
        <w:ind w:left="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engineering consultancy service income was 20.2% for the six months ended June 30, 2026, a decrease of 49.1 percentage points from 69.3% for the same period last year. The decrease was mainly due to the delivery and acceptance of 30 ePM.</w:t>
            </w:r>
          </w:p>
        </w:tc>
      </w:tr>
    </w:tbl>
    <w:p>
      <w:pPr>
        <w:pStyle w:val="TextBody"/>
        <w:shd w:fill="FFFFFF" w:val="clear"/>
        <w:bidi w:val="0"/>
        <w:spacing w:before="0" w:after="0"/>
        <w:ind w:left="0" w:right="0" w:hanging="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for rental income was 54.7% for the six months ended June 30, 2026, a decrease of 5.4 percentage points from 60.1% for the same period last year. The decrease was mainly due to higher depreciation expenses.</w:t>
            </w:r>
          </w:p>
        </w:tc>
      </w:tr>
    </w:tbl>
    <w:p>
      <w:pPr>
        <w:pStyle w:val="TextBody"/>
        <w:shd w:fill="FFFFFF" w:val="clear"/>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Distribution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distribution expenses were S$0.4 million (US$0.3 million) for the six months ended June 30, 2026, an increase of 21.7% from S$0.3 million for the same period last year. The increase was due to increase of staff salary and related costs.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S$5.2 million (US$4.0 million) for the six months ended June 30, 2026, a decrease from S$5.7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Gain (Loss), Net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other loss was S$0.1 million (US$0.08 million) for the six months ended June 30, 2026, compared to a total net other gain of S$0.1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was S$1.7 million (US$1.3 million) for the six months ended June 30, 2026, compared to S$2.4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Basic and Diluted Income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income per share was S$0.59 (US$0.46) for the six months ended June 30, 2026, compared to S$0.86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S$10.9 million (US$8.5 million), compared to S$10.7 million as of December 31,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S$10.0 million (US$7.7 million) for the six months ended June 30, 2026, compared to S$10.0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S$7.1 million (US$5.5 million) for the six months ended June 30, 2026, compared to net cash provided by investing activities of S$0.2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S$2.6 million (US$2.0 million) for the six months ended June 30, 2026, compared to S$5.7 million for the same period last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Singapore dollar amounts into U.S. dollars for the convenience of the reader. Translations of amounts from Singapore dollars into U.S. dollars have been made at the exchange rate of S$1.2941 = US$1.00, which was the foreign exchange rate on June 30, 2026 as reported by the Board of Governors of the Federal Reserve System in its weekly release on July 6, 2026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Ten-League International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Ten-League International Holdings Limited is a Singapore-based provider of turnkey project solutions. The Company’s business primarily consists of sales of heavy equipment and parts, heavy equipment rental and provision of engineering consultancy services to port, construction, civil engineering and underground foundation industries. The equipment is organized into four categories based on their functions and application scenarios: foundation equipment, hoist equipment, excavation equipment and port machinery. The Company also provides value-added engineering solutions under engineering consultancy services with the aim to address potential safety issues, enhance reliability and productivity and allow for customers to evaluate the performance of the equipment, the quality of the work completed and the progress of their projects. Ten-League’s mission is to provide high-quality equipment, value-added engineering solutions as well as maintenance and repair through continuous adaptation and application of new technologies. For more information, please visit the Company’s website: </w:t>
      </w:r>
      <w:r>
        <w:rPr>
          <w:rFonts w:ascii="Times New Roman;Times;Serif" w:hAnsi="Times New Roman;Times;Serif"/>
          <w:b w:val="false"/>
          <w:i w:val="false"/>
          <w:caps w:val="false"/>
          <w:smallCaps w:val="false"/>
          <w:sz w:val="20"/>
          <w:u w:val="single"/>
        </w:rPr>
        <w:t>https://ir.ten-league.com.sg/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“believe”, “plan”, “expect”, “intend”, “should”, “seek”, “estimate”, “will”, “aim” and “anticipate” or other similar expressions in this press release.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U.S. Securities and Exchange Commission (“SEC”). Readers are cautioned not to place undue reliance on these forward-looking statements and are advised to consider the factors listed above together with the additional factors under the heading “Risk Factors” in the Company’s Annual Reports on Form 20-F, as may be supplemented or amended by the Company’s Reports of a Foreign Private Issuer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Ten-League International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ir@ten-league.com.sg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+1 646-932-7242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investors@ascent-ir.com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6024"/>
        <w:gridCol w:w="90"/>
        <w:gridCol w:w="432"/>
        <w:gridCol w:w="90"/>
        <w:gridCol w:w="165"/>
        <w:gridCol w:w="779"/>
        <w:gridCol w:w="147"/>
        <w:gridCol w:w="90"/>
        <w:gridCol w:w="181"/>
        <w:gridCol w:w="867"/>
        <w:gridCol w:w="90"/>
        <w:gridCol w:w="90"/>
        <w:gridCol w:w="181"/>
        <w:gridCol w:w="867"/>
        <w:gridCol w:w="112"/>
      </w:tblGrid>
      <w:tr>
        <w:trPr/>
        <w:tc>
          <w:tcPr>
            <w:tcW w:w="6024"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Dec 31,</w:t>
            </w:r>
            <w:r>
              <w:rPr>
                <w:rFonts w:ascii="Times New Roman;Times;Serif" w:hAnsi="Times New Roman;Times;Serif"/>
                <w:b w:val="false"/>
                <w:i w:val="false"/>
                <w:caps w:val="false"/>
                <w:smallCaps w:val="false"/>
                <w:sz w:val="20"/>
              </w:rPr>
              <w:t xml:space="preserve"> </w:t>
            </w:r>
          </w:p>
        </w:tc>
        <w:tc>
          <w:tcPr>
            <w:tcW w:w="14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Jun 30,</w:t>
            </w:r>
            <w:r>
              <w:rPr>
                <w:rFonts w:ascii="Times New Roman;Times;Serif" w:hAnsi="Times New Roman;Times;Serif"/>
                <w:b w:val="false"/>
                <w:i w:val="false"/>
                <w:caps w:val="false"/>
                <w:smallCaps w:val="false"/>
                <w:sz w:val="20"/>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Jun 30,</w:t>
            </w:r>
            <w:r>
              <w:rPr>
                <w:rFonts w:ascii="Times New Roman;Times;Serif" w:hAnsi="Times New Roman;Times;Serif"/>
                <w:b w:val="false"/>
                <w:i w:val="false"/>
                <w:caps w:val="false"/>
                <w:smallCaps w:val="false"/>
                <w:sz w:val="20"/>
              </w:rPr>
              <w:t xml:space="preserve"> </w:t>
            </w:r>
          </w:p>
        </w:tc>
        <w:tc>
          <w:tcPr>
            <w:tcW w:w="11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2025</w:t>
            </w:r>
            <w:r>
              <w:rPr>
                <w:rFonts w:ascii="Times New Roman;Times;Serif" w:hAnsi="Times New Roman;Times;Serif"/>
                <w:b w:val="false"/>
                <w:i w:val="false"/>
                <w:caps w:val="false"/>
                <w:smallCaps w:val="false"/>
                <w:sz w:val="20"/>
              </w:rPr>
              <w:t xml:space="preserve"> </w:t>
            </w:r>
          </w:p>
        </w:tc>
        <w:tc>
          <w:tcPr>
            <w:tcW w:w="14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2026</w:t>
            </w:r>
            <w:r>
              <w:rPr>
                <w:rFonts w:ascii="Times New Roman;Times;Serif" w:hAnsi="Times New Roman;Times;Serif"/>
                <w:b w:val="false"/>
                <w:i w:val="false"/>
                <w:caps w:val="false"/>
                <w:smallCaps w:val="false"/>
                <w:sz w:val="20"/>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2026</w:t>
            </w:r>
            <w:r>
              <w:rPr>
                <w:rFonts w:ascii="Times New Roman;Times;Serif" w:hAnsi="Times New Roman;Times;Serif"/>
                <w:b w:val="false"/>
                <w:i w:val="false"/>
                <w:caps w:val="false"/>
                <w:smallCaps w:val="false"/>
                <w:sz w:val="20"/>
              </w:rPr>
              <w:t xml:space="preserve"> </w:t>
            </w:r>
          </w:p>
        </w:tc>
        <w:tc>
          <w:tcPr>
            <w:tcW w:w="11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S$’000</w:t>
            </w:r>
            <w:r>
              <w:rPr>
                <w:rFonts w:ascii="Times New Roman;Times;Serif" w:hAnsi="Times New Roman;Times;Serif"/>
                <w:b w:val="false"/>
                <w:i w:val="false"/>
                <w:caps w:val="false"/>
                <w:smallCaps w:val="false"/>
                <w:sz w:val="20"/>
              </w:rPr>
              <w:t xml:space="preserve"> </w:t>
            </w:r>
          </w:p>
        </w:tc>
        <w:tc>
          <w:tcPr>
            <w:tcW w:w="14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S$’000</w:t>
            </w:r>
            <w:r>
              <w:rPr>
                <w:rFonts w:ascii="Times New Roman;Times;Serif" w:hAnsi="Times New Roman;Times;Serif"/>
                <w:b w:val="false"/>
                <w:i w:val="false"/>
                <w:caps w:val="false"/>
                <w:smallCaps w:val="false"/>
                <w:sz w:val="20"/>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US$’000</w:t>
            </w:r>
            <w:r>
              <w:rPr>
                <w:rFonts w:ascii="Times New Roman;Times;Serif" w:hAnsi="Times New Roman;Times;Serif"/>
                <w:b w:val="false"/>
                <w:i w:val="false"/>
                <w:caps w:val="false"/>
                <w:smallCaps w:val="false"/>
                <w:sz w:val="20"/>
              </w:rPr>
              <w:t xml:space="preserve"> </w:t>
            </w:r>
          </w:p>
        </w:tc>
        <w:tc>
          <w:tcPr>
            <w:tcW w:w="11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(Audited)</w:t>
            </w:r>
            <w:r>
              <w:rPr>
                <w:rFonts w:ascii="Times New Roman;Times;Serif" w:hAnsi="Times New Roman;Times;Serif"/>
                <w:b w:val="false"/>
                <w:i w:val="false"/>
                <w:caps w:val="false"/>
                <w:smallCaps w:val="false"/>
                <w:sz w:val="20"/>
              </w:rPr>
              <w:t xml:space="preserve"> </w:t>
            </w:r>
          </w:p>
        </w:tc>
        <w:tc>
          <w:tcPr>
            <w:tcW w:w="14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tc>
        <w:tc>
          <w:tcPr>
            <w:tcW w:w="11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vAlign w:val="center"/>
          </w:tcPr>
          <w:p>
            <w:pPr>
              <w:pStyle w:val="TableContents"/>
              <w:bidi w:val="0"/>
              <w:spacing w:before="0" w:after="283"/>
              <w:jc w:val="center"/>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44" w:type="dxa"/>
            <w:gridSpan w:val="2"/>
            <w:tcBorders/>
            <w:vAlign w:val="center"/>
          </w:tcPr>
          <w:p>
            <w:pPr>
              <w:pStyle w:val="TableContents"/>
              <w:bidi w:val="0"/>
              <w:spacing w:before="0" w:after="283"/>
              <w:jc w:val="center"/>
              <w:rPr>
                <w:caps w:val="false"/>
                <w:smallCaps w:val="false"/>
              </w:rPr>
            </w:pPr>
            <w:r>
              <w:rPr>
                <w:caps w:val="false"/>
                <w:smallCaps w:val="false"/>
              </w:rPr>
              <w:t xml:space="preserve">  </w:t>
            </w:r>
          </w:p>
        </w:tc>
        <w:tc>
          <w:tcPr>
            <w:tcW w:w="14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1048" w:type="dxa"/>
            <w:gridSpan w:val="2"/>
            <w:tcBorders/>
            <w:vAlign w:val="center"/>
          </w:tcPr>
          <w:p>
            <w:pPr>
              <w:pStyle w:val="TableContents"/>
              <w:bidi w:val="0"/>
              <w:spacing w:before="0" w:after="283"/>
              <w:jc w:val="center"/>
              <w:rPr>
                <w:caps w:val="false"/>
                <w:smallCaps w:val="false"/>
              </w:rPr>
            </w:pPr>
            <w:r>
              <w:rPr>
                <w:caps w:val="false"/>
                <w:smallCaps w:val="false"/>
              </w:rPr>
              <w:t xml:space="preserve">  </w:t>
            </w:r>
          </w:p>
        </w:tc>
        <w:tc>
          <w:tcPr>
            <w:tcW w:w="112"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ASSETS</w:t>
            </w:r>
            <w:r>
              <w:rPr>
                <w:rFonts w:ascii="Times New Roman;Times;Serif" w:hAnsi="Times New Roman;Times;Serif"/>
                <w:b w:val="false"/>
                <w:i w:val="false"/>
                <w:caps w:val="false"/>
                <w:smallCaps w:val="false"/>
                <w:sz w:val="20"/>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assets: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10,684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10,938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8,452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net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14,410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12,584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9,724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assets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650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502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15,761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6,728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5,199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Deposits, prepayments and other receivables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2,996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2,157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1,667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current assets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43,930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33,057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25,544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Non-current assets: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33,137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35,807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27,670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Right-of-use assets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receivables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304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261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non-current assets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33,452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36,154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27,938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ASSETS</w:t>
            </w:r>
            <w:r>
              <w:rPr>
                <w:rFonts w:ascii="Times New Roman;Times;Serif" w:hAnsi="Times New Roman;Times;Serif"/>
                <w:b w:val="false"/>
                <w:i w:val="false"/>
                <w:caps w:val="false"/>
                <w:smallCaps w:val="false"/>
                <w:sz w:val="20"/>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77,382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69,211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53,482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LIABILITIES AND SHAREHOLDERS’ EQUITY</w:t>
            </w:r>
            <w:r>
              <w:rPr>
                <w:rFonts w:ascii="Times New Roman;Times;Serif" w:hAnsi="Times New Roman;Times;Serif"/>
                <w:b w:val="false"/>
                <w:i w:val="false"/>
                <w:caps w:val="false"/>
                <w:smallCaps w:val="false"/>
                <w:sz w:val="20"/>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liabilities: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payable and accrued liabilities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11,488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4,684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3,620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due to related parties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14,472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13,878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10,723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borrowings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16,953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14,742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11,392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 liabilities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6,606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7,041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5,441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 payable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993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1,038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802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current liabilities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50,512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41,383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31,978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Long-term liabilities: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 liabilities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7,558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6,759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5,223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tax liabilities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2,613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2,613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2,019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long-term liabilities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10,171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9,372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7,242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LIABILITIES</w:t>
            </w:r>
            <w:r>
              <w:rPr>
                <w:rFonts w:ascii="Times New Roman;Times;Serif" w:hAnsi="Times New Roman;Times;Serif"/>
                <w:b w:val="false"/>
                <w:i w:val="false"/>
                <w:caps w:val="false"/>
                <w:smallCaps w:val="false"/>
                <w:sz w:val="20"/>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60,683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50,755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39,220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Commitments and contingencies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Shareholders’ equity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share, par value US$0.00025, 2,000,000,000 shares authorized, 2,940,451 ordinary shares issued and outstanding**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5,778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4,465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paid-in capital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5,778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Retained earnings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10,921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12,665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9,787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Accumulated other comprehensive income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caps w:val="false"/>
                <w:smallCaps w:val="false"/>
              </w:rPr>
            </w:pPr>
            <w:r>
              <w:rPr>
                <w:caps w:val="false"/>
                <w:smallCaps w:val="false"/>
              </w:rPr>
              <w:t xml:space="preserve">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shareholders’ equity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16,699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18,456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14,262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r>
      <w:tr>
        <w:trPr/>
        <w:tc>
          <w:tcPr>
            <w:tcW w:w="60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LIABILITIES AND SHAREHOLDERS’ EQUITY</w:t>
            </w:r>
            <w:r>
              <w:rPr>
                <w:rFonts w:ascii="Times New Roman;Times;Serif" w:hAnsi="Times New Roman;Times;Serif"/>
                <w:b w:val="false"/>
                <w:i w:val="false"/>
                <w:caps w:val="false"/>
                <w:smallCaps w:val="false"/>
                <w:sz w:val="20"/>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43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77,382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69,211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53,482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denotes amount less than $’000.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On April 13, 2026, the Company effected a 1-for-10 reverse share spilt, whereby every ten (10) issued and outstanding ordinary shares were consolidated into one (1) ordinary share, with a corresponding increase in par value from $0.000025 to $0.00025 per share. All share and per share information presented in these financial statements have been retrospectively adjusted, where applicable, to reflect this share consolidation. The consolidation did not affect total shareholders’ equity. On May 1, 2026, 16 ordinary shares were issued for no consideration to shareholders whose fractional shares were rounded up to the nearest whole share following the reverse share split. </w:t>
      </w:r>
    </w:p>
    <w:p>
      <w:pPr>
        <w:pStyle w:val="TextBody"/>
        <w:bidi w:val="0"/>
        <w:spacing w:before="0" w:after="0"/>
        <w:ind w:left="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INCOME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4841"/>
        <w:gridCol w:w="108"/>
        <w:gridCol w:w="265"/>
        <w:gridCol w:w="267"/>
        <w:gridCol w:w="108"/>
        <w:gridCol w:w="108"/>
        <w:gridCol w:w="115"/>
        <w:gridCol w:w="1166"/>
        <w:gridCol w:w="143"/>
        <w:gridCol w:w="108"/>
        <w:gridCol w:w="115"/>
        <w:gridCol w:w="1166"/>
        <w:gridCol w:w="143"/>
        <w:gridCol w:w="108"/>
        <w:gridCol w:w="115"/>
        <w:gridCol w:w="1166"/>
        <w:gridCol w:w="163"/>
      </w:tblGrid>
      <w:tr>
        <w:trPr/>
        <w:tc>
          <w:tcPr>
            <w:tcW w:w="4841"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532" w:type="dxa"/>
            <w:gridSpan w:val="2"/>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434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June 30, </w:t>
            </w:r>
          </w:p>
        </w:tc>
        <w:tc>
          <w:tcPr>
            <w:tcW w:w="163" w:type="dxa"/>
            <w:tcBorders/>
            <w:vAlign w:val="center"/>
          </w:tcPr>
          <w:p>
            <w:pPr>
              <w:pStyle w:val="TableContents"/>
              <w:bidi w:val="0"/>
              <w:spacing w:before="0" w:after="283"/>
              <w:jc w:val="left"/>
              <w:rPr/>
            </w:pPr>
            <w:r>
              <w:rPr/>
              <w:t xml:space="preserve">  </w:t>
            </w:r>
          </w:p>
        </w:tc>
      </w:tr>
      <w:tr>
        <w:trPr/>
        <w:tc>
          <w:tcPr>
            <w:tcW w:w="4841" w:type="dxa"/>
            <w:tcBorders/>
            <w:vAlign w:val="center"/>
          </w:tcPr>
          <w:p>
            <w:pPr>
              <w:pStyle w:val="TableContents"/>
              <w:bidi w:val="0"/>
              <w:spacing w:before="0" w:after="283"/>
              <w:jc w:val="center"/>
              <w:rPr/>
            </w:pPr>
            <w:r>
              <w:rPr/>
              <w:t xml:space="preserve">  </w:t>
            </w:r>
          </w:p>
        </w:tc>
        <w:tc>
          <w:tcPr>
            <w:tcW w:w="108" w:type="dxa"/>
            <w:tcBorders/>
            <w:vAlign w:val="center"/>
          </w:tcPr>
          <w:p>
            <w:pPr>
              <w:pStyle w:val="TableContents"/>
              <w:bidi w:val="0"/>
              <w:spacing w:before="0" w:after="283"/>
              <w:jc w:val="left"/>
              <w:rPr/>
            </w:pPr>
            <w:r>
              <w:rPr/>
              <w:t xml:space="preserve">  </w:t>
            </w:r>
          </w:p>
        </w:tc>
        <w:tc>
          <w:tcPr>
            <w:tcW w:w="532"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Note </w:t>
            </w:r>
          </w:p>
        </w:tc>
        <w:tc>
          <w:tcPr>
            <w:tcW w:w="108"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163" w:type="dxa"/>
            <w:tcBorders/>
            <w:vAlign w:val="center"/>
          </w:tcPr>
          <w:p>
            <w:pPr>
              <w:pStyle w:val="TableContents"/>
              <w:bidi w:val="0"/>
              <w:spacing w:before="0" w:after="283"/>
              <w:jc w:val="left"/>
              <w:rPr/>
            </w:pPr>
            <w:r>
              <w:rPr/>
              <w:t xml:space="preserve">  </w:t>
            </w:r>
          </w:p>
        </w:tc>
      </w:tr>
      <w:tr>
        <w:trPr/>
        <w:tc>
          <w:tcPr>
            <w:tcW w:w="4841" w:type="dxa"/>
            <w:tcBorders/>
            <w:vAlign w:val="center"/>
          </w:tcPr>
          <w:p>
            <w:pPr>
              <w:pStyle w:val="TableContents"/>
              <w:bidi w:val="0"/>
              <w:spacing w:before="0" w:after="283"/>
              <w:jc w:val="center"/>
              <w:rPr/>
            </w:pPr>
            <w:r>
              <w:rPr/>
              <w:t xml:space="preserve">  </w:t>
            </w:r>
          </w:p>
        </w:tc>
        <w:tc>
          <w:tcPr>
            <w:tcW w:w="108" w:type="dxa"/>
            <w:tcBorders/>
            <w:vAlign w:val="center"/>
          </w:tcPr>
          <w:p>
            <w:pPr>
              <w:pStyle w:val="TableContents"/>
              <w:bidi w:val="0"/>
              <w:spacing w:before="0" w:after="283"/>
              <w:jc w:val="left"/>
              <w:rPr/>
            </w:pPr>
            <w:r>
              <w:rPr/>
              <w:t xml:space="preserve">  </w:t>
            </w:r>
          </w:p>
        </w:tc>
        <w:tc>
          <w:tcPr>
            <w:tcW w:w="532" w:type="dxa"/>
            <w:gridSpan w:val="2"/>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b/>
              </w:rPr>
            </w:pPr>
            <w:r>
              <w:rPr>
                <w:b/>
              </w:rPr>
              <w:t xml:space="preserve">S$’000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b/>
              </w:rPr>
            </w:pPr>
            <w:r>
              <w:rPr>
                <w:b/>
              </w:rPr>
              <w:t xml:space="preserve">S$’000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b/>
              </w:rPr>
            </w:pPr>
            <w:r>
              <w:rPr>
                <w:b/>
              </w:rPr>
              <w:t xml:space="preserve">US$’000 </w:t>
            </w:r>
          </w:p>
        </w:tc>
        <w:tc>
          <w:tcPr>
            <w:tcW w:w="163" w:type="dxa"/>
            <w:tcBorders/>
            <w:vAlign w:val="center"/>
          </w:tcPr>
          <w:p>
            <w:pPr>
              <w:pStyle w:val="TableContents"/>
              <w:bidi w:val="0"/>
              <w:spacing w:before="0" w:after="283"/>
              <w:jc w:val="left"/>
              <w:rPr/>
            </w:pPr>
            <w:r>
              <w:rPr/>
              <w:t xml:space="preserve">  </w:t>
            </w:r>
          </w:p>
        </w:tc>
      </w:tr>
      <w:tr>
        <w:trPr/>
        <w:tc>
          <w:tcPr>
            <w:tcW w:w="4841" w:type="dxa"/>
            <w:tcBorders/>
            <w:vAlign w:val="center"/>
          </w:tcPr>
          <w:p>
            <w:pPr>
              <w:pStyle w:val="TableContents"/>
              <w:bidi w:val="0"/>
              <w:spacing w:before="0" w:after="283"/>
              <w:jc w:val="center"/>
              <w:rPr/>
            </w:pPr>
            <w:r>
              <w:rPr/>
              <w:t xml:space="preserve">  </w:t>
            </w:r>
          </w:p>
        </w:tc>
        <w:tc>
          <w:tcPr>
            <w:tcW w:w="108" w:type="dxa"/>
            <w:tcBorders/>
            <w:vAlign w:val="center"/>
          </w:tcPr>
          <w:p>
            <w:pPr>
              <w:pStyle w:val="TableContents"/>
              <w:bidi w:val="0"/>
              <w:spacing w:before="0" w:after="283"/>
              <w:jc w:val="left"/>
              <w:rPr/>
            </w:pPr>
            <w:r>
              <w:rPr/>
              <w:t xml:space="preserve">  </w:t>
            </w:r>
          </w:p>
        </w:tc>
        <w:tc>
          <w:tcPr>
            <w:tcW w:w="532" w:type="dxa"/>
            <w:gridSpan w:val="2"/>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b/>
              </w:rPr>
            </w:pPr>
            <w:r>
              <w:rPr>
                <w:b/>
              </w:rPr>
              <w:t xml:space="preserve">(Unaudited)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b/>
              </w:rPr>
            </w:pPr>
            <w:r>
              <w:rPr>
                <w:b/>
              </w:rPr>
              <w:t xml:space="preserve">(Unaudited)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b/>
              </w:rPr>
            </w:pPr>
            <w:r>
              <w:rPr>
                <w:b/>
              </w:rPr>
              <w:t xml:space="preserve">(Unaudited) </w:t>
            </w:r>
          </w:p>
        </w:tc>
        <w:tc>
          <w:tcPr>
            <w:tcW w:w="163" w:type="dxa"/>
            <w:tcBorders/>
            <w:vAlign w:val="center"/>
          </w:tcPr>
          <w:p>
            <w:pPr>
              <w:pStyle w:val="TableContents"/>
              <w:bidi w:val="0"/>
              <w:spacing w:before="0" w:after="283"/>
              <w:jc w:val="left"/>
              <w:rPr/>
            </w:pPr>
            <w:r>
              <w:rPr/>
              <w:t xml:space="preserve">  </w:t>
            </w:r>
          </w:p>
        </w:tc>
      </w:tr>
      <w:tr>
        <w:trPr/>
        <w:tc>
          <w:tcPr>
            <w:tcW w:w="4841" w:type="dxa"/>
            <w:tcBorders/>
            <w:vAlign w:val="center"/>
          </w:tcPr>
          <w:p>
            <w:pPr>
              <w:pStyle w:val="TableContents"/>
              <w:bidi w:val="0"/>
              <w:spacing w:before="0" w:after="283"/>
              <w:jc w:val="center"/>
              <w:rPr/>
            </w:pPr>
            <w:r>
              <w:rPr/>
              <w:t xml:space="preserve">  </w:t>
            </w:r>
          </w:p>
        </w:tc>
        <w:tc>
          <w:tcPr>
            <w:tcW w:w="108" w:type="dxa"/>
            <w:tcBorders/>
            <w:vAlign w:val="center"/>
          </w:tcPr>
          <w:p>
            <w:pPr>
              <w:pStyle w:val="TableContents"/>
              <w:bidi w:val="0"/>
              <w:spacing w:before="0" w:after="283"/>
              <w:jc w:val="left"/>
              <w:rPr/>
            </w:pPr>
            <w:r>
              <w:rPr/>
              <w:t xml:space="preserve">  </w:t>
            </w:r>
          </w:p>
        </w:tc>
        <w:tc>
          <w:tcPr>
            <w:tcW w:w="532" w:type="dxa"/>
            <w:gridSpan w:val="2"/>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pPr>
            <w:r>
              <w:rPr/>
              <w:t xml:space="preserve">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pPr>
            <w:r>
              <w:rPr/>
              <w:t xml:space="preserve">  </w:t>
            </w:r>
          </w:p>
        </w:tc>
        <w:tc>
          <w:tcPr>
            <w:tcW w:w="143" w:type="dxa"/>
            <w:tcBorders/>
            <w:vAlign w:val="center"/>
          </w:tcPr>
          <w:p>
            <w:pPr>
              <w:pStyle w:val="TableContents"/>
              <w:bidi w:val="0"/>
              <w:spacing w:before="0" w:after="283"/>
              <w:jc w:val="left"/>
              <w:rPr/>
            </w:pPr>
            <w:r>
              <w:rPr/>
              <w:t xml:space="preserve">  </w:t>
            </w:r>
          </w:p>
        </w:tc>
        <w:tc>
          <w:tcPr>
            <w:tcW w:w="108" w:type="dxa"/>
            <w:tcBorders/>
            <w:vAlign w:val="center"/>
          </w:tcPr>
          <w:p>
            <w:pPr>
              <w:pStyle w:val="TableContents"/>
              <w:bidi w:val="0"/>
              <w:spacing w:before="0" w:after="283"/>
              <w:jc w:val="left"/>
              <w:rPr/>
            </w:pPr>
            <w:r>
              <w:rPr/>
              <w:t xml:space="preserve">  </w:t>
            </w:r>
          </w:p>
        </w:tc>
        <w:tc>
          <w:tcPr>
            <w:tcW w:w="1281" w:type="dxa"/>
            <w:gridSpan w:val="2"/>
            <w:tcBorders/>
            <w:vAlign w:val="center"/>
          </w:tcPr>
          <w:p>
            <w:pPr>
              <w:pStyle w:val="TableContents"/>
              <w:bidi w:val="0"/>
              <w:spacing w:before="0" w:after="283"/>
              <w:jc w:val="center"/>
              <w:rPr/>
            </w:pPr>
            <w:r>
              <w:rPr/>
              <w:t xml:space="preserve">  </w:t>
            </w:r>
          </w:p>
        </w:tc>
        <w:tc>
          <w:tcPr>
            <w:tcW w:w="163" w:type="dxa"/>
            <w:tcBorders/>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b/>
              </w:rPr>
            </w:pPr>
            <w:r>
              <w:rPr>
                <w:b/>
              </w:rPr>
              <w:t xml:space="preserve">Revenues, net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37,687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33,095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25,574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Cost of revenue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(28,840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(25,140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(19,427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Gross profit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8,847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7,955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6,147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Operating cost and expenses: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Selling and distribution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(306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(381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(294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General and administrative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(5,661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(5,223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(4,037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Total operating cost and expenses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(5,967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(5,604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(4,331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b/>
              </w:rPr>
            </w:pPr>
            <w:r>
              <w:rPr>
                <w:b/>
              </w:rPr>
              <w:t xml:space="preserve">Profit from operations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2,880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2,351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1,816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Other income (expense):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(Loss)/Gain from disposal of plant and equipment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(30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1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1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Interest income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94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186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144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Interest expense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(430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(377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(291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Government grant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5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5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4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Exchange gain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251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Other income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204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87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67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Total other gain/(loss), net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94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(98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(75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b/>
              </w:rPr>
            </w:pPr>
            <w:r>
              <w:rPr>
                <w:b/>
              </w:rPr>
              <w:t xml:space="preserve">Income before income taxes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2,974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2,253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1,741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Income tax expense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(591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(509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(393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b/>
              </w:rPr>
            </w:pPr>
            <w:r>
              <w:rPr>
                <w:b/>
              </w:rPr>
              <w:t xml:space="preserve">NET INCOME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2,383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1,744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1,348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b/>
              </w:rPr>
            </w:pPr>
            <w:r>
              <w:rPr>
                <w:b/>
              </w:rPr>
              <w:t xml:space="preserve">OTHER COMPREHENSIVE INCOME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Foreign currency translation adjustments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13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10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b/>
              </w:rPr>
            </w:pPr>
            <w:r>
              <w:rPr>
                <w:b/>
              </w:rPr>
              <w:t xml:space="preserve">COMPREHENSIVE INCOME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2,383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1,757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1,358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Net income per share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Basic and diluted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0.86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0.59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 xml:space="preserve">0.46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shd w:fill="FFFFFF" w:val="clear"/>
            <w:vAlign w:val="center"/>
          </w:tcPr>
          <w:p>
            <w:pPr>
              <w:pStyle w:val="TableContents"/>
              <w:bidi w:val="0"/>
              <w:spacing w:before="0" w:after="283"/>
              <w:jc w:val="left"/>
              <w:rPr/>
            </w:pPr>
            <w:r>
              <w:rPr/>
              <w:t xml:space="preserve">  </w:t>
            </w:r>
          </w:p>
        </w:tc>
        <w:tc>
          <w:tcPr>
            <w:tcW w:w="1166" w:type="dxa"/>
            <w:tcBorders/>
            <w:shd w:fill="FFFFFF" w:val="clear"/>
            <w:vAlign w:val="center"/>
          </w:tcPr>
          <w:p>
            <w:pPr>
              <w:pStyle w:val="TableContents"/>
              <w:bidi w:val="0"/>
              <w:spacing w:before="0" w:after="283"/>
              <w:jc w:val="right"/>
              <w:rPr/>
            </w:pPr>
            <w:r>
              <w:rPr/>
              <w:t xml:space="preserve">  </w:t>
            </w:r>
          </w:p>
        </w:tc>
        <w:tc>
          <w:tcPr>
            <w:tcW w:w="163" w:type="dxa"/>
            <w:tcBorders/>
            <w:shd w:fill="FFFFFF" w:val="clear"/>
            <w:vAlign w:val="center"/>
          </w:tcPr>
          <w:p>
            <w:pPr>
              <w:pStyle w:val="TableContents"/>
              <w:bidi w:val="0"/>
              <w:spacing w:before="0" w:after="283"/>
              <w:jc w:val="left"/>
              <w:rPr/>
            </w:pPr>
            <w:r>
              <w:rPr/>
              <w:t xml:space="preserve">  </w:t>
            </w:r>
          </w:p>
        </w:tc>
      </w:tr>
      <w:tr>
        <w:trPr/>
        <w:tc>
          <w:tcPr>
            <w:tcW w:w="4841" w:type="dxa"/>
            <w:tcBorders/>
            <w:shd w:fill="CCEEFF" w:val="clear"/>
            <w:vAlign w:val="center"/>
          </w:tcPr>
          <w:p>
            <w:pPr>
              <w:pStyle w:val="TableContents"/>
              <w:bidi w:val="0"/>
              <w:spacing w:before="0" w:after="283"/>
              <w:jc w:val="left"/>
              <w:rPr/>
            </w:pPr>
            <w:r>
              <w:rPr/>
              <w:t xml:space="preserve">Weighted average number of ordinary shares outstanding </w:t>
            </w:r>
          </w:p>
        </w:tc>
        <w:tc>
          <w:tcPr>
            <w:tcW w:w="108" w:type="dxa"/>
            <w:tcBorders/>
            <w:shd w:fill="CCEEFF" w:val="clear"/>
            <w:vAlign w:val="center"/>
          </w:tcPr>
          <w:p>
            <w:pPr>
              <w:pStyle w:val="TableContents"/>
              <w:bidi w:val="0"/>
              <w:spacing w:before="0" w:after="283"/>
              <w:jc w:val="left"/>
              <w:rPr/>
            </w:pPr>
            <w:r>
              <w:rPr/>
              <w:t xml:space="preserve">  </w:t>
            </w:r>
          </w:p>
        </w:tc>
        <w:tc>
          <w:tcPr>
            <w:tcW w:w="265" w:type="dxa"/>
            <w:tcBorders/>
            <w:shd w:fill="CCEEFF" w:val="clear"/>
            <w:vAlign w:val="center"/>
          </w:tcPr>
          <w:p>
            <w:pPr>
              <w:pStyle w:val="TableContents"/>
              <w:bidi w:val="0"/>
              <w:spacing w:before="0" w:after="283"/>
              <w:jc w:val="left"/>
              <w:rPr/>
            </w:pPr>
            <w:r>
              <w:rPr/>
              <w:t xml:space="preserve">  </w:t>
            </w:r>
          </w:p>
        </w:tc>
        <w:tc>
          <w:tcPr>
            <w:tcW w:w="267" w:type="dxa"/>
            <w:tcBorders/>
            <w:shd w:fill="CCEEFF" w:val="clear"/>
            <w:vAlign w:val="center"/>
          </w:tcPr>
          <w:p>
            <w:pPr>
              <w:pStyle w:val="TableContents"/>
              <w:bidi w:val="0"/>
              <w:spacing w:before="0" w:after="283"/>
              <w:jc w:val="righ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08" w:type="dxa"/>
            <w:tcBorders/>
            <w:shd w:fill="CCEEFF" w:val="clear"/>
            <w:vAlign w:val="center"/>
          </w:tcPr>
          <w:p>
            <w:pPr>
              <w:pStyle w:val="TableContents"/>
              <w:bidi w:val="0"/>
              <w:spacing w:before="0" w:after="283"/>
              <w:jc w:val="left"/>
              <w:rPr/>
            </w:pPr>
            <w:r>
              <w:rPr/>
              <w:t xml:space="preserve">  </w:t>
            </w:r>
          </w:p>
        </w:tc>
        <w:tc>
          <w:tcPr>
            <w:tcW w:w="115" w:type="dxa"/>
            <w:tcBorders/>
            <w:shd w:fill="CCEEFF" w:val="clear"/>
            <w:vAlign w:val="center"/>
          </w:tcPr>
          <w:p>
            <w:pPr>
              <w:pStyle w:val="TableContents"/>
              <w:bidi w:val="0"/>
              <w:spacing w:before="0" w:after="283"/>
              <w:jc w:val="left"/>
              <w:rPr/>
            </w:pPr>
            <w:r>
              <w:rPr/>
              <w:t xml:space="preserve">  </w:t>
            </w:r>
          </w:p>
        </w:tc>
        <w:tc>
          <w:tcPr>
            <w:tcW w:w="1166" w:type="dxa"/>
            <w:tcBorders/>
            <w:shd w:fill="CCEEFF" w:val="clear"/>
            <w:vAlign w:val="center"/>
          </w:tcPr>
          <w:p>
            <w:pPr>
              <w:pStyle w:val="TableContents"/>
              <w:bidi w:val="0"/>
              <w:spacing w:before="0" w:after="283"/>
              <w:jc w:val="right"/>
              <w:rPr/>
            </w:pPr>
            <w:r>
              <w:rPr/>
              <w:t xml:space="preserve">  </w:t>
            </w:r>
          </w:p>
        </w:tc>
        <w:tc>
          <w:tcPr>
            <w:tcW w:w="163" w:type="dxa"/>
            <w:tcBorders/>
            <w:shd w:fill="CCEEFF" w:val="clear"/>
            <w:vAlign w:val="center"/>
          </w:tcPr>
          <w:p>
            <w:pPr>
              <w:pStyle w:val="TableContents"/>
              <w:bidi w:val="0"/>
              <w:spacing w:before="0" w:after="283"/>
              <w:jc w:val="left"/>
              <w:rPr/>
            </w:pPr>
            <w:r>
              <w:rPr/>
              <w:t xml:space="preserve">  </w:t>
            </w:r>
          </w:p>
        </w:tc>
      </w:tr>
      <w:tr>
        <w:trPr/>
        <w:tc>
          <w:tcPr>
            <w:tcW w:w="4841" w:type="dxa"/>
            <w:tcBorders/>
            <w:shd w:fill="FFFFFF" w:val="clear"/>
            <w:vAlign w:val="center"/>
          </w:tcPr>
          <w:p>
            <w:pPr>
              <w:pStyle w:val="TableContents"/>
              <w:bidi w:val="0"/>
              <w:spacing w:before="0" w:after="283"/>
              <w:jc w:val="left"/>
              <w:rPr/>
            </w:pPr>
            <w:r>
              <w:rPr/>
              <w:t xml:space="preserve">Basic and diluted* </w:t>
            </w:r>
          </w:p>
        </w:tc>
        <w:tc>
          <w:tcPr>
            <w:tcW w:w="108" w:type="dxa"/>
            <w:tcBorders/>
            <w:shd w:fill="FFFFFF" w:val="clear"/>
            <w:vAlign w:val="center"/>
          </w:tcPr>
          <w:p>
            <w:pPr>
              <w:pStyle w:val="TableContents"/>
              <w:bidi w:val="0"/>
              <w:spacing w:before="0" w:after="283"/>
              <w:jc w:val="left"/>
              <w:rPr/>
            </w:pPr>
            <w:r>
              <w:rPr/>
              <w:t xml:space="preserve">  </w:t>
            </w:r>
          </w:p>
        </w:tc>
        <w:tc>
          <w:tcPr>
            <w:tcW w:w="265" w:type="dxa"/>
            <w:tcBorders/>
            <w:shd w:fill="FFFFFF" w:val="clear"/>
            <w:vAlign w:val="center"/>
          </w:tcPr>
          <w:p>
            <w:pPr>
              <w:pStyle w:val="TableContents"/>
              <w:bidi w:val="0"/>
              <w:spacing w:before="0" w:after="283"/>
              <w:jc w:val="left"/>
              <w:rPr/>
            </w:pPr>
            <w:r>
              <w:rPr/>
              <w:t xml:space="preserve">  </w:t>
            </w:r>
          </w:p>
        </w:tc>
        <w:tc>
          <w:tcPr>
            <w:tcW w:w="267" w:type="dxa"/>
            <w:tcBorders/>
            <w:shd w:fill="FFFFFF" w:val="clear"/>
            <w:vAlign w:val="center"/>
          </w:tcPr>
          <w:p>
            <w:pPr>
              <w:pStyle w:val="TableContents"/>
              <w:bidi w:val="0"/>
              <w:spacing w:before="0" w:after="283"/>
              <w:jc w:val="righ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2,779,650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2,940,440 </w:t>
            </w:r>
          </w:p>
        </w:tc>
        <w:tc>
          <w:tcPr>
            <w:tcW w:w="143" w:type="dxa"/>
            <w:tcBorders/>
            <w:shd w:fill="FFFFFF" w:val="clear"/>
            <w:vAlign w:val="center"/>
          </w:tcPr>
          <w:p>
            <w:pPr>
              <w:pStyle w:val="TableContents"/>
              <w:bidi w:val="0"/>
              <w:spacing w:before="0" w:after="283"/>
              <w:jc w:val="left"/>
              <w:rPr/>
            </w:pPr>
            <w:r>
              <w:rPr/>
              <w:t xml:space="preserve">  </w:t>
            </w:r>
          </w:p>
        </w:tc>
        <w:tc>
          <w:tcPr>
            <w:tcW w:w="108" w:type="dxa"/>
            <w:tcBorders/>
            <w:shd w:fill="FFFFFF" w:val="clear"/>
            <w:vAlign w:val="center"/>
          </w:tcPr>
          <w:p>
            <w:pPr>
              <w:pStyle w:val="TableContents"/>
              <w:bidi w:val="0"/>
              <w:spacing w:before="0" w:after="283"/>
              <w:jc w:val="left"/>
              <w:rPr/>
            </w:pPr>
            <w:r>
              <w:rPr/>
              <w:t xml:space="preserve">  </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2,940,440 </w:t>
            </w:r>
          </w:p>
        </w:tc>
        <w:tc>
          <w:tcPr>
            <w:tcW w:w="163"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On April 13, 2026, the Company effected a 1-for-10 reverse share spilt, whereby every ten (10) issued and outstanding ordinary shares were consolidated into one (1) ordinary share, with a corresponding increase in par value from $0.000025 to $0.00025 per share. All share and per share information presented in these financial statements have been retrospectively adjusted, where applicable, to reflect this share consolidation. The consolidation did not affect total shareholders’ equity. On May 1, 2026, 16 ordinary shares were issued for no consideration to shareholders whose fractional shares were rounded up to the nearest whole share following the reverse share split. </w:t>
      </w:r>
    </w:p>
    <w:p>
      <w:pPr>
        <w:pStyle w:val="TextBody"/>
        <w:bidi w:val="0"/>
        <w:spacing w:before="0" w:after="0"/>
        <w:ind w:left="0" w:right="0" w:hanging="0"/>
        <w:jc w:val="both"/>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TEN-LEAGUE INTERNATIONAL HOLDINGS LIMITED AND SUBSIDIARIES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 in thousands, except for share and per share data, or otherwise noted)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700"/>
        <w:gridCol w:w="99"/>
        <w:gridCol w:w="118"/>
        <w:gridCol w:w="1144"/>
        <w:gridCol w:w="134"/>
        <w:gridCol w:w="99"/>
        <w:gridCol w:w="118"/>
        <w:gridCol w:w="1144"/>
        <w:gridCol w:w="134"/>
        <w:gridCol w:w="99"/>
        <w:gridCol w:w="133"/>
        <w:gridCol w:w="1129"/>
        <w:gridCol w:w="154"/>
      </w:tblGrid>
      <w:tr>
        <w:trPr/>
        <w:tc>
          <w:tcPr>
            <w:tcW w:w="5700"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425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Six Months ended June 30, </w:t>
            </w:r>
          </w:p>
        </w:tc>
        <w:tc>
          <w:tcPr>
            <w:tcW w:w="154" w:type="dxa"/>
            <w:tcBorders/>
            <w:vAlign w:val="center"/>
          </w:tcPr>
          <w:p>
            <w:pPr>
              <w:pStyle w:val="TableContents"/>
              <w:bidi w:val="0"/>
              <w:spacing w:before="0" w:after="283"/>
              <w:jc w:val="left"/>
              <w:rPr/>
            </w:pPr>
            <w:r>
              <w:rPr/>
              <w:t xml:space="preserve">  </w:t>
            </w:r>
          </w:p>
        </w:tc>
      </w:tr>
      <w:tr>
        <w:trPr/>
        <w:tc>
          <w:tcPr>
            <w:tcW w:w="5700"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2025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2026 </w:t>
            </w:r>
          </w:p>
        </w:tc>
        <w:tc>
          <w:tcPr>
            <w:tcW w:w="154" w:type="dxa"/>
            <w:tcBorders/>
            <w:vAlign w:val="center"/>
          </w:tcPr>
          <w:p>
            <w:pPr>
              <w:pStyle w:val="TableContents"/>
              <w:bidi w:val="0"/>
              <w:spacing w:before="0" w:after="283"/>
              <w:jc w:val="left"/>
              <w:rPr/>
            </w:pPr>
            <w:r>
              <w:rPr/>
              <w:t xml:space="preserve">  </w:t>
            </w:r>
          </w:p>
        </w:tc>
      </w:tr>
      <w:tr>
        <w:trPr/>
        <w:tc>
          <w:tcPr>
            <w:tcW w:w="5700"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pPr>
            <w:r>
              <w:rPr/>
              <w:t xml:space="preserve">S$’000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pPr>
            <w:r>
              <w:rPr/>
              <w:t xml:space="preserve">S$’000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pPr>
            <w:r>
              <w:rPr/>
              <w:t xml:space="preserve">US$’000 </w:t>
            </w:r>
          </w:p>
        </w:tc>
        <w:tc>
          <w:tcPr>
            <w:tcW w:w="154" w:type="dxa"/>
            <w:tcBorders/>
            <w:vAlign w:val="center"/>
          </w:tcPr>
          <w:p>
            <w:pPr>
              <w:pStyle w:val="TableContents"/>
              <w:bidi w:val="0"/>
              <w:spacing w:before="0" w:after="283"/>
              <w:jc w:val="left"/>
              <w:rPr/>
            </w:pPr>
            <w:r>
              <w:rPr/>
              <w:t xml:space="preserve">  </w:t>
            </w:r>
          </w:p>
        </w:tc>
      </w:tr>
      <w:tr>
        <w:trPr/>
        <w:tc>
          <w:tcPr>
            <w:tcW w:w="5700"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b/>
              </w:rPr>
            </w:pPr>
            <w:r>
              <w:rPr>
                <w:b/>
              </w:rPr>
              <w:t xml:space="preserve">(Unaudited)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b/>
              </w:rPr>
            </w:pPr>
            <w:r>
              <w:rPr>
                <w:b/>
              </w:rPr>
              <w:t xml:space="preserve">(Unaudited)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b/>
              </w:rPr>
            </w:pPr>
            <w:r>
              <w:rPr>
                <w:b/>
              </w:rPr>
              <w:t xml:space="preserve">(Unaudited) </w:t>
            </w:r>
          </w:p>
        </w:tc>
        <w:tc>
          <w:tcPr>
            <w:tcW w:w="154" w:type="dxa"/>
            <w:tcBorders/>
            <w:vAlign w:val="center"/>
          </w:tcPr>
          <w:p>
            <w:pPr>
              <w:pStyle w:val="TableContents"/>
              <w:bidi w:val="0"/>
              <w:spacing w:before="0" w:after="283"/>
              <w:jc w:val="left"/>
              <w:rPr/>
            </w:pPr>
            <w:r>
              <w:rPr/>
              <w:t xml:space="preserve">  </w:t>
            </w:r>
          </w:p>
        </w:tc>
      </w:tr>
      <w:tr>
        <w:trPr/>
        <w:tc>
          <w:tcPr>
            <w:tcW w:w="5700"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pPr>
            <w:r>
              <w:rPr/>
              <w:t xml:space="preserve">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pPr>
            <w:r>
              <w:rPr/>
              <w:t xml:space="preserve">  </w:t>
            </w:r>
          </w:p>
        </w:tc>
        <w:tc>
          <w:tcPr>
            <w:tcW w:w="134" w:type="dxa"/>
            <w:tcBorders/>
            <w:vAlign w:val="center"/>
          </w:tcPr>
          <w:p>
            <w:pPr>
              <w:pStyle w:val="TableContents"/>
              <w:bidi w:val="0"/>
              <w:spacing w:before="0" w:after="283"/>
              <w:jc w:val="left"/>
              <w:rPr/>
            </w:pPr>
            <w:r>
              <w:rPr/>
              <w:t xml:space="preserve">  </w:t>
            </w:r>
          </w:p>
        </w:tc>
        <w:tc>
          <w:tcPr>
            <w:tcW w:w="99" w:type="dxa"/>
            <w:tcBorders/>
            <w:vAlign w:val="center"/>
          </w:tcPr>
          <w:p>
            <w:pPr>
              <w:pStyle w:val="TableContents"/>
              <w:bidi w:val="0"/>
              <w:spacing w:before="0" w:after="283"/>
              <w:jc w:val="left"/>
              <w:rPr/>
            </w:pPr>
            <w:r>
              <w:rPr/>
              <w:t xml:space="preserve">  </w:t>
            </w:r>
          </w:p>
        </w:tc>
        <w:tc>
          <w:tcPr>
            <w:tcW w:w="1262" w:type="dxa"/>
            <w:gridSpan w:val="2"/>
            <w:tcBorders/>
            <w:vAlign w:val="center"/>
          </w:tcPr>
          <w:p>
            <w:pPr>
              <w:pStyle w:val="TableContents"/>
              <w:bidi w:val="0"/>
              <w:spacing w:before="0" w:after="283"/>
              <w:jc w:val="center"/>
              <w:rPr/>
            </w:pPr>
            <w:r>
              <w:rPr/>
              <w:t xml:space="preserve">  </w:t>
            </w:r>
          </w:p>
        </w:tc>
        <w:tc>
          <w:tcPr>
            <w:tcW w:w="154" w:type="dxa"/>
            <w:tcBorders/>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b/>
              </w:rPr>
            </w:pPr>
            <w:r>
              <w:rPr>
                <w:b/>
              </w:rPr>
              <w:t xml:space="preserve">Cash flows from operating activities: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Net income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2,383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1,744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1,348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Adjustments to reconcile net income to net cash provided by operating activities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Depreciation of property and equipment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2,241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2,614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2,020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Depreciation of right-of-use assets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594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2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2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Loss on disposal of property and equipment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30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Change in working capital: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Accounts receivable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1,582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2,525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1,951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Contract assets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(342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(571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(441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Inventories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2,791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10,991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8,493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Related parties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161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(594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(459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Accounts payable and accrued liabilities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122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(6,804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(5,258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Income tax payable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463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45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35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Net cash provided by operating activities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10,025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9,952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7,691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b/>
              </w:rPr>
            </w:pPr>
            <w:r>
              <w:rPr>
                <w:b/>
              </w:rPr>
              <w:t xml:space="preserve">Cash flows from investing activities: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Proceeds from disposal of property and equipment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47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Repayment from finance lease receivables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371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436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337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Purchase of property and equipment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(236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(7,572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(5,851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Net cash provided by/(used in) investing activities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182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(7,136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(5,514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b/>
              </w:rPr>
            </w:pPr>
            <w:r>
              <w:rPr>
                <w:b/>
              </w:rPr>
              <w:t xml:space="preserve">Cash flows from financing activities: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Proceeds of bank borrowings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679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1,484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1,147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Deferred IPO expenses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(923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Repayment of bank borrowings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(266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Principal repayment of lease liabilities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(4,622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(4,057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(3,135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Payment of deferred financing costs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(597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 xml:space="preserve">(2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Net cash used in financing activities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(5,729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(2,575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(1,990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Effect on exchange rate change on balances held in foreign currency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13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9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b/>
              </w:rPr>
            </w:pPr>
            <w:r>
              <w:rPr>
                <w:b/>
              </w:rPr>
              <w:t xml:space="preserve">Net change in cash and cash equivalent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4,478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254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196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b/>
              </w:rPr>
            </w:pPr>
            <w:r>
              <w:rPr>
                <w:b/>
              </w:rPr>
              <w:t xml:space="preserve">BEGINNING OF PERIOD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686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10,684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xml:space="preserve">8,256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b/>
              </w:rPr>
            </w:pPr>
            <w:r>
              <w:rPr>
                <w:b/>
              </w:rPr>
              <w:t xml:space="preserve">END OF PERIOD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5,164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10,938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8,452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b/>
              </w:rPr>
            </w:pPr>
            <w:r>
              <w:rPr>
                <w:b/>
              </w:rPr>
              <w:t xml:space="preserve">SUPPLEMENTAL CASH FLOW INFORMATION: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Cash paid for income taxes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127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464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359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Cash paid for interest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430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shd w:fill="FFFFFF" w:val="clear"/>
            <w:vAlign w:val="center"/>
          </w:tcPr>
          <w:p>
            <w:pPr>
              <w:pStyle w:val="TableContents"/>
              <w:bidi w:val="0"/>
              <w:spacing w:before="0" w:after="283"/>
              <w:jc w:val="left"/>
              <w:rPr/>
            </w:pPr>
            <w:r>
              <w:rPr/>
              <w:t xml:space="preserve">  </w:t>
            </w:r>
          </w:p>
        </w:tc>
        <w:tc>
          <w:tcPr>
            <w:tcW w:w="1144" w:type="dxa"/>
            <w:tcBorders/>
            <w:shd w:fill="FFFFFF" w:val="clear"/>
            <w:vAlign w:val="center"/>
          </w:tcPr>
          <w:p>
            <w:pPr>
              <w:pStyle w:val="TableContents"/>
              <w:bidi w:val="0"/>
              <w:spacing w:before="0" w:after="283"/>
              <w:jc w:val="right"/>
              <w:rPr/>
            </w:pPr>
            <w:r>
              <w:rPr/>
              <w:t xml:space="preserve">377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1129" w:type="dxa"/>
            <w:tcBorders/>
            <w:shd w:fill="FFFFFF" w:val="clear"/>
            <w:vAlign w:val="center"/>
          </w:tcPr>
          <w:p>
            <w:pPr>
              <w:pStyle w:val="TableContents"/>
              <w:bidi w:val="0"/>
              <w:spacing w:before="0" w:after="283"/>
              <w:jc w:val="right"/>
              <w:rPr/>
            </w:pPr>
            <w:r>
              <w:rPr/>
              <w:t xml:space="preserve">291 </w:t>
            </w:r>
          </w:p>
        </w:tc>
        <w:tc>
          <w:tcPr>
            <w:tcW w:w="154" w:type="dxa"/>
            <w:tcBorders/>
            <w:shd w:fill="FFFFFF" w:val="clear"/>
            <w:vAlign w:val="center"/>
          </w:tcPr>
          <w:p>
            <w:pPr>
              <w:pStyle w:val="TableContents"/>
              <w:bidi w:val="0"/>
              <w:spacing w:before="0" w:after="283"/>
              <w:jc w:val="left"/>
              <w:rPr/>
            </w:pPr>
            <w:r>
              <w:rPr/>
              <w:t xml:space="preserve">  </w:t>
            </w:r>
          </w:p>
        </w:tc>
      </w:tr>
      <w:tr>
        <w:trPr/>
        <w:tc>
          <w:tcPr>
            <w:tcW w:w="5700" w:type="dxa"/>
            <w:tcBorders/>
            <w:shd w:fill="CCEEFF" w:val="clear"/>
            <w:vAlign w:val="center"/>
          </w:tcPr>
          <w:p>
            <w:pPr>
              <w:pStyle w:val="TableContents"/>
              <w:bidi w:val="0"/>
              <w:spacing w:before="0" w:after="283"/>
              <w:jc w:val="left"/>
              <w:rPr/>
            </w:pPr>
            <w:r>
              <w:rPr/>
              <w:t xml:space="preserve">Cash received from finance lease receivable interest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(94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18" w:type="dxa"/>
            <w:tcBorders/>
            <w:shd w:fill="CCEEFF" w:val="clear"/>
            <w:vAlign w:val="center"/>
          </w:tcPr>
          <w:p>
            <w:pPr>
              <w:pStyle w:val="TableContents"/>
              <w:bidi w:val="0"/>
              <w:spacing w:before="0" w:after="283"/>
              <w:jc w:val="left"/>
              <w:rPr/>
            </w:pPr>
            <w:r>
              <w:rPr/>
              <w:t xml:space="preserve">  </w:t>
            </w:r>
          </w:p>
        </w:tc>
        <w:tc>
          <w:tcPr>
            <w:tcW w:w="1144" w:type="dxa"/>
            <w:tcBorders/>
            <w:shd w:fill="CCEEFF" w:val="clear"/>
            <w:vAlign w:val="center"/>
          </w:tcPr>
          <w:p>
            <w:pPr>
              <w:pStyle w:val="TableContents"/>
              <w:bidi w:val="0"/>
              <w:spacing w:before="0" w:after="283"/>
              <w:jc w:val="right"/>
              <w:rPr/>
            </w:pPr>
            <w:r>
              <w:rPr/>
              <w:t xml:space="preserve">(185 </w:t>
            </w:r>
          </w:p>
        </w:tc>
        <w:tc>
          <w:tcPr>
            <w:tcW w:w="134" w:type="dxa"/>
            <w:tcBorders/>
            <w:shd w:fill="CCEEFF" w:val="clear"/>
            <w:vAlign w:val="center"/>
          </w:tcPr>
          <w:p>
            <w:pPr>
              <w:pStyle w:val="TableContents"/>
              <w:bidi w:val="0"/>
              <w:spacing w:before="0" w:after="283"/>
              <w:jc w:val="left"/>
              <w:rPr/>
            </w:pPr>
            <w:r>
              <w:rPr/>
              <w:t xml:space="preserve">) </w:t>
            </w:r>
          </w:p>
        </w:tc>
        <w:tc>
          <w:tcPr>
            <w:tcW w:w="99" w:type="dxa"/>
            <w:tcBorders/>
            <w:shd w:fill="CCEEFF" w:val="clear"/>
            <w:vAlign w:val="center"/>
          </w:tcPr>
          <w:p>
            <w:pPr>
              <w:pStyle w:val="TableContents"/>
              <w:bidi w:val="0"/>
              <w:spacing w:before="0" w:after="283"/>
              <w:jc w:val="lef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1129" w:type="dxa"/>
            <w:tcBorders/>
            <w:shd w:fill="CCEEFF" w:val="clear"/>
            <w:vAlign w:val="center"/>
          </w:tcPr>
          <w:p>
            <w:pPr>
              <w:pStyle w:val="TableContents"/>
              <w:bidi w:val="0"/>
              <w:spacing w:before="0" w:after="283"/>
              <w:jc w:val="right"/>
              <w:rPr/>
            </w:pPr>
            <w:r>
              <w:rPr/>
              <w:t xml:space="preserve">(143 </w:t>
            </w:r>
          </w:p>
        </w:tc>
        <w:tc>
          <w:tcPr>
            <w:tcW w:w="154" w:type="dxa"/>
            <w:tcBorders/>
            <w:shd w:fill="CCEEFF" w:val="clear"/>
            <w:vAlign w:val="center"/>
          </w:tcPr>
          <w:p>
            <w:pPr>
              <w:pStyle w:val="TableContents"/>
              <w:bidi w:val="0"/>
              <w:spacing w:before="0" w:after="283"/>
              <w:jc w:val="left"/>
              <w:rPr/>
            </w:pPr>
            <w:r>
              <w:rPr/>
              <w:t xml:space="preserve">) </w:t>
            </w:r>
          </w:p>
        </w:tc>
      </w:tr>
      <w:tr>
        <w:trPr/>
        <w:tc>
          <w:tcPr>
            <w:tcW w:w="5700" w:type="dxa"/>
            <w:tcBorders/>
            <w:shd w:fill="FFFFFF" w:val="clear"/>
            <w:vAlign w:val="center"/>
          </w:tcPr>
          <w:p>
            <w:pPr>
              <w:pStyle w:val="TableContents"/>
              <w:bidi w:val="0"/>
              <w:spacing w:before="0" w:after="283"/>
              <w:jc w:val="left"/>
              <w:rPr/>
            </w:pPr>
            <w:r>
              <w:rPr/>
              <w:t xml:space="preserve">Operating lease asset obtained in exchange for operating lease obligations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44"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 </w:t>
            </w:r>
          </w:p>
        </w:tc>
        <w:tc>
          <w:tcPr>
            <w:tcW w:w="134" w:type="dxa"/>
            <w:tcBorders/>
            <w:shd w:fill="FFFFFF" w:val="clear"/>
            <w:vAlign w:val="center"/>
          </w:tcPr>
          <w:p>
            <w:pPr>
              <w:pStyle w:val="TableContents"/>
              <w:bidi w:val="0"/>
              <w:spacing w:before="0" w:after="283"/>
              <w:jc w:val="left"/>
              <w:rPr/>
            </w:pPr>
            <w:r>
              <w:rPr/>
              <w:t xml:space="preserve">  </w:t>
            </w:r>
          </w:p>
        </w:tc>
        <w:tc>
          <w:tcPr>
            <w:tcW w:w="99" w:type="dxa"/>
            <w:tcBorders/>
            <w:shd w:fill="FFFFFF" w:val="clear"/>
            <w:vAlign w:val="center"/>
          </w:tcPr>
          <w:p>
            <w:pPr>
              <w:pStyle w:val="TableContents"/>
              <w:bidi w:val="0"/>
              <w:spacing w:before="0" w:after="283"/>
              <w:jc w:val="left"/>
              <w:rPr/>
            </w:pPr>
            <w:r>
              <w:rPr/>
              <w:t xml:space="preserve">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xml:space="preserve">  </w:t>
            </w:r>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 </w:t>
            </w:r>
          </w:p>
        </w:tc>
        <w:tc>
          <w:tcPr>
            <w:tcW w:w="154"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jc w:val="center"/>
        <w:rPr>
          <w:caps w:val="false"/>
          <w:smallCaps w:val="false"/>
        </w:rPr>
      </w:pPr>
      <w:r>
        <w:rPr>
          <w:caps w:val="false"/>
          <w:smallCaps w:val="false"/>
        </w:rPr>
        <w:t xml:space="preserve">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8250</Words>
  <Characters>45259</Characters>
  <CharactersWithSpaces>58667</CharactersWithSpaces>
  <Paragraphs>6194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