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20-f.htm"/>
      <w:bookmarkStart w:id="1" w:name="ksform20f"/>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0101__20"/>
      <w:bookmarkEnd w:id="2"/>
      <w:r>
        <w:rPr>
          <w:rFonts w:ascii="Times New Roman;Times;Serif" w:hAnsi="Times New Roman;Times;Serif"/>
          <w:b/>
          <w:i w:val="false"/>
          <w:caps w:val="false"/>
          <w:smallCaps w:val="false"/>
          <w:sz w:val="36"/>
        </w:rPr>
        <w:t>20-F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center"/>
        <w:rPr>
          <w:caps w:val="false"/>
          <w:smallCaps w:val="false"/>
        </w:rPr>
      </w:pPr>
      <w:bookmarkStart w:id="3" w:name="xdx_905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4" w:name="xdx_90A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1_edei--CurrentFiscalYearEndDate_c"/>
      <w:bookmarkStart w:id="6" w:name="xdx_908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8_edei--DocumentFiscalYearFocus_c2"/>
      <w:bookmarkEnd w:id="7"/>
      <w:r>
        <w:rPr>
          <w:rFonts w:ascii="Times New Roman;Times;Serif" w:hAnsi="Times New Roman;Times;Serif"/>
          <w:b/>
          <w:i w:val="false"/>
          <w:caps w:val="false"/>
          <w:smallCaps w:val="false"/>
          <w:sz w:val="20"/>
        </w:rPr>
        <w:t>2025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8" w:name="xdx_907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_________to _________</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9" w:name="xdx_90E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 ___________</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10" w:name="xdx_909_edei--EntityFileNumber_c20250101"/>
      <w:bookmarkEnd w:id="10"/>
      <w:r>
        <w:rPr>
          <w:rFonts w:ascii="Times New Roman;Times;Serif" w:hAnsi="Times New Roman;Times;Serif"/>
          <w:b/>
          <w:i w:val="false"/>
          <w:caps w:val="false"/>
          <w:smallCaps w:val="false"/>
          <w:sz w:val="20"/>
        </w:rPr>
        <w:t>333-275240</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11" w:name="xdx_90A_edei--EntityRegistrantName_c2025"/>
      <w:bookmarkEnd w:id="11"/>
      <w:r>
        <w:rPr>
          <w:rFonts w:ascii="Times New Roman;Times;Serif" w:hAnsi="Times New Roman;Times;Serif"/>
          <w:b/>
          <w:i w:val="false"/>
          <w:caps w:val="false"/>
          <w:smallCaps w:val="false"/>
          <w:sz w:val="36"/>
        </w:rPr>
        <w:t>Ten-League International Holdings Limited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2" w:name="xdx_907_edei--EntityIncorporationStateCo"/>
      <w:bookmarkEnd w:id="12"/>
      <w:r>
        <w:rPr>
          <w:rFonts w:ascii="Times New Roman;Times;Serif" w:hAnsi="Times New Roman;Times;Serif"/>
          <w:b/>
          <w:i w:val="false"/>
          <w:caps w:val="false"/>
          <w:smallCaps w:val="false"/>
          <w:sz w:val="20"/>
        </w:rPr>
        <w:t>Cayman Islands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3" w:name="xdx_90C_edei--EntityAddressAddressLine2_"/>
      <w:bookmarkEnd w:id="13"/>
      <w:r>
        <w:rPr>
          <w:rFonts w:ascii="Times New Roman;Times;Serif" w:hAnsi="Times New Roman;Times;Serif"/>
          <w:b/>
          <w:i w:val="false"/>
          <w:caps w:val="false"/>
          <w:smallCaps w:val="false"/>
          <w:sz w:val="20"/>
        </w:rPr>
        <w:t>(Jurisdiction of Incorporation or Organization)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4" w:name="xdx_901_edei--EntityAddressAddressLine1_"/>
      <w:bookmarkEnd w:id="14"/>
      <w:r>
        <w:rPr>
          <w:rFonts w:ascii="Times New Roman;Times;Serif" w:hAnsi="Times New Roman;Times;Serif"/>
          <w:b/>
          <w:i w:val="false"/>
          <w:caps w:val="false"/>
          <w:smallCaps w:val="false"/>
          <w:sz w:val="20"/>
        </w:rPr>
        <w:t xml:space="preserve">7 Tuas Avenue 2, </w:t>
      </w:r>
      <w:bookmarkStart w:id="15" w:name="xdx_904_edei--EntityAddressCityOrTown_c2"/>
      <w:bookmarkStart w:id="16" w:name="xdx_901_edei--EntityAddressCountry_c2025"/>
      <w:bookmarkEnd w:id="15"/>
      <w:bookmarkEnd w:id="16"/>
      <w:r>
        <w:rPr>
          <w:rFonts w:ascii="Times New Roman;Times;Serif" w:hAnsi="Times New Roman;Times;Serif"/>
          <w:b/>
          <w:i w:val="false"/>
          <w:caps w:val="false"/>
          <w:smallCaps w:val="false"/>
          <w:sz w:val="20"/>
        </w:rPr>
        <w:t xml:space="preserve">Singapore </w:t>
      </w:r>
      <w:bookmarkStart w:id="17" w:name="xdx_903_edei--EntityAddressPostalZipCode"/>
      <w:bookmarkEnd w:id="17"/>
      <w:r>
        <w:rPr>
          <w:rFonts w:ascii="Times New Roman;Times;Serif" w:hAnsi="Times New Roman;Times;Serif"/>
          <w:b/>
          <w:i w:val="false"/>
          <w:caps w:val="false"/>
          <w:smallCaps w:val="false"/>
          <w:sz w:val="20"/>
        </w:rPr>
        <w:t>639447</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8" w:name="xdx_900_edei--ContactPersonnelName_c2025"/>
      <w:bookmarkEnd w:id="18"/>
      <w:r>
        <w:rPr>
          <w:rFonts w:ascii="Times New Roman;Times;Serif" w:hAnsi="Times New Roman;Times;Serif"/>
          <w:b/>
          <w:i w:val="false"/>
          <w:caps w:val="false"/>
          <w:smallCaps w:val="false"/>
          <w:sz w:val="20"/>
        </w:rPr>
        <w:t>Lim Boon Ping</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9" w:name="xdx_905_edei--EntityAddressAddressLine1_"/>
      <w:bookmarkEnd w:id="19"/>
      <w:r>
        <w:rPr>
          <w:rFonts w:ascii="Times New Roman;Times;Serif" w:hAnsi="Times New Roman;Times;Serif"/>
          <w:b/>
          <w:i w:val="false"/>
          <w:caps w:val="false"/>
          <w:smallCaps w:val="false"/>
          <w:sz w:val="20"/>
        </w:rPr>
        <w:t xml:space="preserve">c/o 7 Tuas Avenue 2, </w:t>
      </w:r>
      <w:bookmarkStart w:id="20" w:name="xdx_901_edei--EntityAddressCityOrTown_c2"/>
      <w:bookmarkStart w:id="21" w:name="xdx_902_edei--EntityAddressCountry_c2025"/>
      <w:bookmarkEnd w:id="20"/>
      <w:bookmarkEnd w:id="21"/>
      <w:r>
        <w:rPr>
          <w:rFonts w:ascii="Times New Roman;Times;Serif" w:hAnsi="Times New Roman;Times;Serif"/>
          <w:b/>
          <w:i w:val="false"/>
          <w:caps w:val="false"/>
          <w:smallCaps w:val="false"/>
          <w:sz w:val="20"/>
        </w:rPr>
        <w:t xml:space="preserve">Singapore </w:t>
      </w:r>
      <w:bookmarkStart w:id="22" w:name="xdx_900_edei--EntityAddressPostalZipCode"/>
      <w:bookmarkEnd w:id="22"/>
      <w:r>
        <w:rPr>
          <w:rFonts w:ascii="Times New Roman;Times;Serif" w:hAnsi="Times New Roman;Times;Serif"/>
          <w:b/>
          <w:i w:val="false"/>
          <w:caps w:val="false"/>
          <w:smallCaps w:val="false"/>
          <w:sz w:val="20"/>
        </w:rPr>
        <w:t>639447</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w:t>
      </w:r>
      <w:bookmarkStart w:id="23" w:name="xdx_906_edei--CityAreaCode_c20250101__20"/>
      <w:bookmarkEnd w:id="23"/>
      <w:r>
        <w:rPr>
          <w:rFonts w:ascii="Times New Roman;Times;Serif" w:hAnsi="Times New Roman;Times;Serif"/>
          <w:b/>
          <w:i w:val="false"/>
          <w:caps w:val="false"/>
          <w:smallCaps w:val="false"/>
          <w:sz w:val="20"/>
        </w:rPr>
        <w:t xml:space="preserve">+65 </w:t>
      </w:r>
      <w:bookmarkStart w:id="24" w:name="xdx_905_edei--LocalPhoneNumber_c20250101"/>
      <w:bookmarkEnd w:id="24"/>
      <w:r>
        <w:rPr>
          <w:rFonts w:ascii="Times New Roman;Times;Serif" w:hAnsi="Times New Roman;Times;Serif"/>
          <w:b/>
          <w:i w:val="false"/>
          <w:caps w:val="false"/>
          <w:smallCaps w:val="false"/>
          <w:sz w:val="20"/>
        </w:rPr>
        <w:t>6862 0769</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Telephone, E-mail and/or Facsimile Number and Address of Company Contact Person)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 None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 None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for which there is a reporting obligation pursuant to Section 15(d) of the Act: None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the number of outstanding shares of each of the issuer’s classes of capital or common stock as of the close of the period covered by the annual report: </w:t>
      </w:r>
    </w:p>
    <w:p>
      <w:pPr>
        <w:pStyle w:val="TextBody"/>
        <w:pBdr/>
        <w:bidi w:val="0"/>
        <w:spacing w:before="0" w:after="0"/>
        <w:ind w:left="0" w:right="0" w:hanging="0"/>
        <w:jc w:val="center"/>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4565"/>
        <w:gridCol w:w="60"/>
        <w:gridCol w:w="965"/>
      </w:tblGrid>
      <w:tr>
        <w:trPr/>
        <w:tc>
          <w:tcPr>
            <w:tcW w:w="4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outstanding as of 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25" w:name="xdx_900_edei--EntityCommonStockSharesOut"/>
            <w:bookmarkEnd w:id="25"/>
            <w:r>
              <w:rPr>
                <w:rFonts w:ascii="Times New Roman;Times;Serif" w:hAnsi="Times New Roman;Times;Serif"/>
                <w:b/>
                <w:i w:val="false"/>
                <w:caps w:val="false"/>
                <w:smallCaps w:val="false"/>
                <w:sz w:val="20"/>
              </w:rPr>
              <w:t>29,404,342</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if the registrant is a well-known seasoned issuer, as defined in Rule 405 of the Securities Act.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bookmarkStart w:id="26" w:name="xdx_900_edei--EntityWellKnownSeasonedIss"/>
      <w:bookmarkEnd w:id="26"/>
      <w:r>
        <w:rPr>
          <w:rFonts w:ascii="Times New Roman;Times;Serif" w:hAnsi="Times New Roman;Times;Serif"/>
          <w:b/>
          <w:i w:val="false"/>
          <w:caps w:val="false"/>
          <w:smallCaps w:val="false"/>
          <w:sz w:val="20"/>
        </w:rPr>
        <w:t>No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this report is an annual or transition report, indicate by check mark if the registrant is not required to file reports pursuant to Section 13 or 15(d) of the Securities Exchange Act of 1934.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bookmarkStart w:id="27" w:name="xdx_902_edei--EntityVoluntaryFilers_c202"/>
      <w:bookmarkEnd w:id="27"/>
      <w:r>
        <w:rPr>
          <w:rFonts w:ascii="Times New Roman;Times;Serif" w:hAnsi="Times New Roman;Times;Serif"/>
          <w:b/>
          <w:i w:val="false"/>
          <w:caps w:val="false"/>
          <w:smallCaps w:val="false"/>
          <w:sz w:val="20"/>
        </w:rPr>
        <w:t>No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bookmarkStart w:id="28" w:name="xdx_90C_edei--EntityCurrentReportingStat"/>
      <w:bookmarkEnd w:id="28"/>
      <w:r>
        <w:rPr>
          <w:rFonts w:ascii="Times New Roman;Times;Serif" w:hAnsi="Times New Roman;Times;Serif"/>
          <w:b/>
          <w:i w:val="false"/>
          <w:caps w:val="false"/>
          <w:smallCaps w:val="false"/>
          <w:sz w:val="20"/>
        </w:rPr>
        <w:t>No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bookmarkStart w:id="29" w:name="xdx_90C_edei--EntityInteractiveDataCurre"/>
      <w:bookmarkEnd w:id="29"/>
      <w:r>
        <w:rPr>
          <w:rFonts w:ascii="Times New Roman;Times;Serif" w:hAnsi="Times New Roman;Times;Serif"/>
          <w:b/>
          <w:i w:val="false"/>
          <w:caps w:val="false"/>
          <w:smallCaps w:val="false"/>
          <w:sz w:val="20"/>
        </w:rPr>
        <w:t>No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p>
      <w:pPr>
        <w:pStyle w:val="TextBody"/>
        <w:pBdr/>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985"/>
        <w:gridCol w:w="230"/>
        <w:gridCol w:w="1430"/>
        <w:gridCol w:w="230"/>
        <w:gridCol w:w="1805"/>
        <w:gridCol w:w="230"/>
        <w:gridCol w:w="2345"/>
        <w:gridCol w:w="245"/>
      </w:tblGrid>
      <w:tr>
        <w:trPr/>
        <w:tc>
          <w:tcPr>
            <w:tcW w:w="19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0" w:name="xdx_903_edei--EntityFilerCategory_c20250"/>
            <w:bookmarkEnd w:id="30"/>
            <w:r>
              <w:rPr>
                <w:rFonts w:ascii="Times New Roman;Times;Serif" w:hAnsi="Times New Roman;Times;Serif"/>
                <w:b/>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tc>
        <w:tc>
          <w:tcPr>
            <w:tcW w:w="245" w:type="dxa"/>
            <w:tcBorders/>
            <w:vAlign w:val="center"/>
          </w:tcPr>
          <w:p>
            <w:pPr>
              <w:pStyle w:val="TableContents"/>
              <w:bidi w:val="0"/>
              <w:spacing w:before="0" w:after="283"/>
              <w:jc w:val="center"/>
              <w:rPr>
                <w:caps w:val="false"/>
                <w:smallCaps w:val="false"/>
              </w:rPr>
            </w:pPr>
            <w:bookmarkStart w:id="31" w:name="xdx_904_edei--EntityEmergingGrowthCompan"/>
            <w:bookmarkEnd w:id="31"/>
            <w:r>
              <w:rPr>
                <w:caps w:val="false"/>
                <w:smallCaps w:val="false"/>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2" w:name="xdx_908_edei--EntityExTransitionPeriod_c"/>
      <w:bookmarkEnd w:id="32"/>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The term “new or revised financial accounting standard” refers to any update issued by the Financial Accounting Standards Board to its Accounting Standards Codification after April 5, 2012.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3" w:name="xdx_90E_edei--IcfrAuditorAttestationFlag"/>
      <w:bookmarkEnd w:id="33"/>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4" w:name="xdx_903_edei--DocumentFinStmtErrorCorrec"/>
      <w:bookmarkEnd w:id="34"/>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by check mark which basis of accounting the registrant has used to prepare the financial statements included in this filing: </w:t>
      </w:r>
    </w:p>
    <w:p>
      <w:pPr>
        <w:pStyle w:val="TextBody"/>
        <w:pBdr/>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175"/>
        <w:gridCol w:w="4580"/>
        <w:gridCol w:w="755"/>
      </w:tblGrid>
      <w:tr>
        <w:trPr/>
        <w:tc>
          <w:tcPr>
            <w:tcW w:w="11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5" w:name="xdx_907_edei--DocumentAccountingStandard"/>
            <w:bookmarkEnd w:id="35"/>
            <w:r>
              <w:rPr>
                <w:rFonts w:ascii="Times New Roman;Times;Serif" w:hAnsi="Times New Roman;Times;Serif"/>
                <w:b/>
                <w:i w:val="false"/>
                <w:caps w:val="false"/>
                <w:smallCaps w:val="false"/>
                <w:sz w:val="20"/>
              </w:rPr>
              <w:t xml:space="preserve">U.S. GAAP </w:t>
            </w:r>
            <w:r>
              <w:rPr>
                <w:rFonts w:ascii="Times New Roman;Times;Serif" w:hAnsi="Times New Roman;Times;Serif"/>
                <w:b w:val="false"/>
                <w:i w:val="false"/>
                <w:caps w:val="false"/>
                <w:smallCaps w:val="false"/>
                <w:sz w:val="20"/>
              </w:rPr>
              <w:t>☒</w:t>
            </w:r>
          </w:p>
        </w:tc>
        <w:tc>
          <w:tcPr>
            <w:tcW w:w="458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Financial Reporting Standards as issued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by the International Accounting Standards Board </w:t>
            </w:r>
            <w:r>
              <w:rPr>
                <w:rFonts w:ascii="Times New Roman;Times;Serif" w:hAnsi="Times New Roman;Times;Serif"/>
                <w:b w:val="false"/>
                <w:i w:val="false"/>
                <w:caps w:val="false"/>
                <w:smallCaps w:val="false"/>
                <w:sz w:val="20"/>
              </w:rPr>
              <w:t>☐</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w:t>
            </w:r>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“Other” has been checked in response to the previous question, indicate by check mark which financial statement item the registrant has elected to follow: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Item 17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Item 18</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this is an annual report, indicate by check mark whether the registrant is a shell company (as defined in Rule 12b-2 of the Exchange Act).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bookmarkStart w:id="36" w:name="xdx_906_edei--EntityShellCompany_dbF_c20"/>
      <w:bookmarkEnd w:id="36"/>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ONLY TO ISSUERS INVOLVED IN BANKRUPTCY PROCEEDINGS DURING THE PAST FIVE YEARS)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pBdr/>
        <w:bidi w:val="0"/>
        <w:spacing w:before="0" w:after="0"/>
        <w:ind w:left="0" w:right="0" w:hanging="0"/>
        <w:jc w:val="center"/>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995"/>
        <w:gridCol w:w="455"/>
      </w:tblGrid>
      <w:tr>
        <w:trPr/>
        <w:tc>
          <w:tcPr>
            <w:tcW w:w="699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9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Introduction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69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Forward-looking Statements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9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Part 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2. 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3. Key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4. 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9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4A. Unresolved Staff Comments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9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5. Operating and Financial Review and Prospects</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995"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Item 6. Directors, Senior Management and Employees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995"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Item 7. Major Shareholders and Related Party Transactions</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6995"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Item 8. 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6995"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Item 9. The Offer and Listing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6995"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Item 10.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6995" w:type="dxa"/>
            <w:tcBorders/>
            <w:shd w:fill="CCEE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6995" w:type="dxa"/>
            <w:tcBorders/>
            <w:shd w:fill="FFFF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995"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b w:val="false"/>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995" w:type="dxa"/>
            <w:tcBorders/>
            <w:shd w:fill="FFFFFF" w:val="clear"/>
            <w:vAlign w:val="center"/>
          </w:tcPr>
          <w:p>
            <w:pPr>
              <w:pStyle w:val="TableContents"/>
              <w:bidi w:val="0"/>
              <w:spacing w:before="0" w:after="283"/>
              <w:jc w:val="left"/>
              <w:rPr/>
            </w:pPr>
            <w:hyperlink w:anchor="sa_009">
              <w:r>
                <w:rPr>
                  <w:rStyle w:val="InternetLink"/>
                  <w:rFonts w:ascii="Times New Roman;Times;Serif" w:hAnsi="Times New Roman;Times;Serif"/>
                  <w:b w:val="false"/>
                  <w:i w:val="false"/>
                  <w:caps w:val="false"/>
                  <w:smallCaps w:val="false"/>
                  <w:sz w:val="20"/>
                </w:rPr>
                <w:t>Item 13. Defaults, Dividend Arrearages and Delinquencies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995" w:type="dxa"/>
            <w:tcBorders/>
            <w:shd w:fill="CCEEFF" w:val="clear"/>
            <w:vAlign w:val="center"/>
          </w:tcPr>
          <w:p>
            <w:pPr>
              <w:pStyle w:val="TableContents"/>
              <w:bidi w:val="0"/>
              <w:spacing w:before="0" w:after="283"/>
              <w:jc w:val="left"/>
              <w:rPr/>
            </w:pPr>
            <w:hyperlink w:anchor="sa_010">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995" w:type="dxa"/>
            <w:tcBorders/>
            <w:shd w:fill="FFFFFF" w:val="clear"/>
            <w:vAlign w:val="center"/>
          </w:tcPr>
          <w:p>
            <w:pPr>
              <w:pStyle w:val="TableContents"/>
              <w:bidi w:val="0"/>
              <w:spacing w:before="0" w:after="283"/>
              <w:jc w:val="left"/>
              <w:rPr/>
            </w:pPr>
            <w:hyperlink w:anchor="sa_011">
              <w:r>
                <w:rPr>
                  <w:rStyle w:val="InternetLink"/>
                  <w:rFonts w:ascii="Times New Roman;Times;Serif" w:hAnsi="Times New Roman;Times;Serif"/>
                  <w:b w:val="false"/>
                  <w:i w:val="false"/>
                  <w:caps w:val="false"/>
                  <w:smallCaps w:val="false"/>
                  <w:sz w:val="20"/>
                </w:rPr>
                <w:t>Item 15. Controls and Procedures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6995" w:type="dxa"/>
            <w:tcBorders/>
            <w:shd w:fill="CCEEFF" w:val="clear"/>
            <w:vAlign w:val="center"/>
          </w:tcPr>
          <w:p>
            <w:pPr>
              <w:pStyle w:val="TableContents"/>
              <w:bidi w:val="0"/>
              <w:spacing w:before="0" w:after="283"/>
              <w:jc w:val="left"/>
              <w:rPr/>
            </w:pPr>
            <w:hyperlink w:anchor="sa_012">
              <w:r>
                <w:rPr>
                  <w:rStyle w:val="InternetLink"/>
                  <w:rFonts w:ascii="Times New Roman;Times;Serif" w:hAnsi="Times New Roman;Times;Serif"/>
                  <w:b w:val="false"/>
                  <w:i w:val="false"/>
                  <w:caps w:val="false"/>
                  <w:smallCaps w:val="false"/>
                  <w:sz w:val="20"/>
                </w:rPr>
                <w:t>Item 16. Reserved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6995" w:type="dxa"/>
            <w:tcBorders/>
            <w:shd w:fill="FFFFFF" w:val="clear"/>
            <w:vAlign w:val="center"/>
          </w:tcPr>
          <w:p>
            <w:pPr>
              <w:pStyle w:val="TableContents"/>
              <w:bidi w:val="0"/>
              <w:spacing w:before="0" w:after="283"/>
              <w:jc w:val="left"/>
              <w:rPr/>
            </w:pPr>
            <w:hyperlink w:anchor="sa_013">
              <w:r>
                <w:rPr>
                  <w:rStyle w:val="InternetLink"/>
                  <w:rFonts w:ascii="Times New Roman;Times;Serif" w:hAnsi="Times New Roman;Times;Serif"/>
                  <w:b w:val="false"/>
                  <w:i w:val="false"/>
                  <w:caps w:val="false"/>
                  <w:smallCaps w:val="false"/>
                  <w:sz w:val="20"/>
                </w:rPr>
                <w:t>Item 16A. Audit Committee Financial Expert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6995" w:type="dxa"/>
            <w:tcBorders/>
            <w:shd w:fill="CCEEFF" w:val="clear"/>
            <w:vAlign w:val="center"/>
          </w:tcPr>
          <w:p>
            <w:pPr>
              <w:pStyle w:val="TableContents"/>
              <w:bidi w:val="0"/>
              <w:spacing w:before="0" w:after="283"/>
              <w:jc w:val="left"/>
              <w:rPr/>
            </w:pPr>
            <w:hyperlink w:anchor="sa_014">
              <w:r>
                <w:rPr>
                  <w:rStyle w:val="InternetLink"/>
                  <w:rFonts w:ascii="Times New Roman;Times;Serif" w:hAnsi="Times New Roman;Times;Serif"/>
                  <w:b w:val="false"/>
                  <w:i w:val="false"/>
                  <w:caps w:val="false"/>
                  <w:smallCaps w:val="false"/>
                  <w:sz w:val="20"/>
                </w:rPr>
                <w:t>Item 16B. Code of Ethics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FFFFFF" w:val="clear"/>
            <w:vAlign w:val="center"/>
          </w:tcPr>
          <w:p>
            <w:pPr>
              <w:pStyle w:val="TableContents"/>
              <w:bidi w:val="0"/>
              <w:spacing w:before="0" w:after="283"/>
              <w:jc w:val="left"/>
              <w:rPr/>
            </w:pPr>
            <w:hyperlink w:anchor="sa_015">
              <w:r>
                <w:rPr>
                  <w:rStyle w:val="InternetLink"/>
                  <w:rFonts w:ascii="Times New Roman;Times;Serif" w:hAnsi="Times New Roman;Times;Serif"/>
                  <w:b w:val="false"/>
                  <w:i w:val="false"/>
                  <w:caps w:val="false"/>
                  <w:smallCaps w:val="false"/>
                  <w:sz w:val="20"/>
                </w:rPr>
                <w:t>Item 16C. Principal Accountant Fee and Services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CCEEFF" w:val="clear"/>
            <w:vAlign w:val="center"/>
          </w:tcPr>
          <w:p>
            <w:pPr>
              <w:pStyle w:val="TableContents"/>
              <w:bidi w:val="0"/>
              <w:spacing w:before="0" w:after="283"/>
              <w:jc w:val="left"/>
              <w:rPr/>
            </w:pPr>
            <w:hyperlink w:anchor="sa_016">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FFFFFF" w:val="clear"/>
            <w:vAlign w:val="center"/>
          </w:tcPr>
          <w:p>
            <w:pPr>
              <w:pStyle w:val="TableContents"/>
              <w:bidi w:val="0"/>
              <w:spacing w:before="0" w:after="283"/>
              <w:jc w:val="left"/>
              <w:rPr/>
            </w:pPr>
            <w:hyperlink w:anchor="sa_017">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CCEEFF" w:val="clear"/>
            <w:vAlign w:val="center"/>
          </w:tcPr>
          <w:p>
            <w:pPr>
              <w:pStyle w:val="TableContents"/>
              <w:bidi w:val="0"/>
              <w:spacing w:before="0" w:after="283"/>
              <w:jc w:val="both"/>
              <w:rPr/>
            </w:pPr>
            <w:hyperlink w:anchor="sa_018">
              <w:r>
                <w:rPr>
                  <w:rStyle w:val="InternetLink"/>
                  <w:rFonts w:ascii="Times New Roman;Times;Serif" w:hAnsi="Times New Roman;Times;Serif"/>
                  <w:b w:val="false"/>
                  <w:i w:val="false"/>
                  <w:caps w:val="false"/>
                  <w:smallCaps w:val="false"/>
                  <w:sz w:val="20"/>
                </w:rPr>
                <w:t>Item 16F. Change in Registrant’s Certifying Accountant</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FFFFFF" w:val="clear"/>
            <w:vAlign w:val="center"/>
          </w:tcPr>
          <w:p>
            <w:pPr>
              <w:pStyle w:val="TableContents"/>
              <w:bidi w:val="0"/>
              <w:spacing w:before="0" w:after="283"/>
              <w:jc w:val="left"/>
              <w:rPr/>
            </w:pPr>
            <w:hyperlink w:anchor="sa_019">
              <w:r>
                <w:rPr>
                  <w:rStyle w:val="InternetLink"/>
                  <w:rFonts w:ascii="Times New Roman;Times;Serif" w:hAnsi="Times New Roman;Times;Serif"/>
                  <w:b w:val="false"/>
                  <w:i w:val="false"/>
                  <w:caps w:val="false"/>
                  <w:smallCaps w:val="false"/>
                  <w:sz w:val="20"/>
                </w:rPr>
                <w:t>Item 16G. Corporate Governance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995" w:type="dxa"/>
            <w:tcBorders/>
            <w:shd w:fill="CCEEFF" w:val="clear"/>
            <w:vAlign w:val="center"/>
          </w:tcPr>
          <w:p>
            <w:pPr>
              <w:pStyle w:val="TableContents"/>
              <w:bidi w:val="0"/>
              <w:spacing w:before="0" w:after="283"/>
              <w:jc w:val="left"/>
              <w:rPr/>
            </w:pPr>
            <w:hyperlink w:anchor="sa_020">
              <w:r>
                <w:rPr>
                  <w:rStyle w:val="InternetLink"/>
                  <w:rFonts w:ascii="Times New Roman;Times;Serif" w:hAnsi="Times New Roman;Times;Serif"/>
                  <w:b w:val="false"/>
                  <w:i w:val="false"/>
                  <w:caps w:val="false"/>
                  <w:smallCaps w:val="false"/>
                  <w:sz w:val="20"/>
                </w:rPr>
                <w:t>Item 16H. Mine Safety Disclosure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6995" w:type="dxa"/>
            <w:tcBorders/>
            <w:shd w:fill="FFFFFF" w:val="clear"/>
            <w:vAlign w:val="center"/>
          </w:tcPr>
          <w:p>
            <w:pPr>
              <w:pStyle w:val="TableContents"/>
              <w:bidi w:val="0"/>
              <w:spacing w:before="0" w:after="283"/>
              <w:jc w:val="left"/>
              <w:rPr/>
            </w:pPr>
            <w:hyperlink w:anchor="sa_021">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6995" w:type="dxa"/>
            <w:tcBorders/>
            <w:shd w:fill="CCEEFF" w:val="clear"/>
            <w:vAlign w:val="center"/>
          </w:tcPr>
          <w:p>
            <w:pPr>
              <w:pStyle w:val="TableContents"/>
              <w:bidi w:val="0"/>
              <w:spacing w:before="0" w:after="283"/>
              <w:jc w:val="left"/>
              <w:rPr/>
            </w:pPr>
            <w:hyperlink w:anchor="sa_022">
              <w:r>
                <w:rPr>
                  <w:rStyle w:val="InternetLink"/>
                  <w:rFonts w:ascii="Times New Roman;Times;Serif" w:hAnsi="Times New Roman;Times;Serif"/>
                  <w:b w:val="false"/>
                  <w:i w:val="false"/>
                  <w:caps w:val="false"/>
                  <w:smallCaps w:val="false"/>
                  <w:sz w:val="20"/>
                </w:rPr>
                <w:t>Item 16J. Insider Trading Policies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6995" w:type="dxa"/>
            <w:tcBorders/>
            <w:shd w:fill="FFFFFF" w:val="clear"/>
            <w:vAlign w:val="center"/>
          </w:tcPr>
          <w:p>
            <w:pPr>
              <w:pStyle w:val="TableContents"/>
              <w:bidi w:val="0"/>
              <w:spacing w:before="0" w:after="283"/>
              <w:jc w:val="left"/>
              <w:rPr/>
            </w:pPr>
            <w:hyperlink w:anchor="sa_023">
              <w:r>
                <w:rPr>
                  <w:rStyle w:val="InternetLink"/>
                  <w:rFonts w:ascii="Times New Roman;Times;Serif" w:hAnsi="Times New Roman;Times;Serif"/>
                  <w:b w:val="false"/>
                  <w:i w:val="false"/>
                  <w:caps w:val="false"/>
                  <w:smallCaps w:val="false"/>
                  <w:sz w:val="20"/>
                </w:rPr>
                <w:t>Item 16K. Cybersecurity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6995" w:type="dxa"/>
            <w:tcBorders/>
            <w:shd w:fill="CCEEFF" w:val="clear"/>
            <w:vAlign w:val="center"/>
          </w:tcPr>
          <w:p>
            <w:pPr>
              <w:pStyle w:val="TableContents"/>
              <w:bidi w:val="0"/>
              <w:spacing w:before="0" w:after="283"/>
              <w:jc w:val="left"/>
              <w:rPr/>
            </w:pPr>
            <w:hyperlink w:anchor="sa_024">
              <w:r>
                <w:rPr>
                  <w:rStyle w:val="InternetLink"/>
                  <w:rFonts w:ascii="Times New Roman;Times;Serif" w:hAnsi="Times New Roman;Times;Serif"/>
                  <w:b w:val="false"/>
                  <w:i w:val="false"/>
                  <w:caps w:val="false"/>
                  <w:smallCaps w:val="false"/>
                  <w:sz w:val="20"/>
                </w:rPr>
                <w:t>Part III.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995" w:type="dxa"/>
            <w:tcBorders/>
            <w:shd w:fill="FFFFFF" w:val="clear"/>
            <w:vAlign w:val="center"/>
          </w:tcPr>
          <w:p>
            <w:pPr>
              <w:pStyle w:val="TableContents"/>
              <w:bidi w:val="0"/>
              <w:spacing w:before="0" w:after="283"/>
              <w:jc w:val="left"/>
              <w:rPr/>
            </w:pPr>
            <w:hyperlink w:anchor="sa_025">
              <w:r>
                <w:rPr>
                  <w:rStyle w:val="InternetLink"/>
                  <w:rFonts w:ascii="Times New Roman;Times;Serif" w:hAnsi="Times New Roman;Times;Serif"/>
                  <w:b w:val="false"/>
                  <w:i w:val="false"/>
                  <w:caps w:val="false"/>
                  <w:smallCaps w:val="false"/>
                  <w:sz w:val="20"/>
                </w:rPr>
                <w:t>Item 17.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995" w:type="dxa"/>
            <w:tcBorders/>
            <w:shd w:fill="CCEEFF" w:val="clear"/>
            <w:vAlign w:val="center"/>
          </w:tcPr>
          <w:p>
            <w:pPr>
              <w:pStyle w:val="TableContents"/>
              <w:bidi w:val="0"/>
              <w:spacing w:before="0" w:after="283"/>
              <w:jc w:val="left"/>
              <w:rPr/>
            </w:pPr>
            <w:hyperlink w:anchor="sa_026">
              <w:r>
                <w:rPr>
                  <w:rStyle w:val="InternetLink"/>
                  <w:rFonts w:ascii="Times New Roman;Times;Serif" w:hAnsi="Times New Roman;Times;Serif"/>
                  <w:b w:val="false"/>
                  <w:i w:val="false"/>
                  <w:caps w:val="false"/>
                  <w:smallCaps w:val="false"/>
                  <w:sz w:val="20"/>
                </w:rPr>
                <w:t>Item 18.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995" w:type="dxa"/>
            <w:tcBorders/>
            <w:shd w:fill="FFFFFF" w:val="clear"/>
            <w:vAlign w:val="center"/>
          </w:tcPr>
          <w:p>
            <w:pPr>
              <w:pStyle w:val="TableContents"/>
              <w:bidi w:val="0"/>
              <w:spacing w:before="0" w:after="283"/>
              <w:jc w:val="left"/>
              <w:rPr/>
            </w:pPr>
            <w:hyperlink w:anchor="sa_027">
              <w:r>
                <w:rPr>
                  <w:rStyle w:val="InternetLink"/>
                  <w:rFonts w:ascii="Times New Roman;Times;Serif" w:hAnsi="Times New Roman;Times;Serif"/>
                  <w:b w:val="false"/>
                  <w:i w:val="false"/>
                  <w:caps w:val="false"/>
                  <w:smallCaps w:val="false"/>
                  <w:sz w:val="20"/>
                </w:rPr>
                <w:t>Item 19. Exhibits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995" w:type="dxa"/>
            <w:tcBorders/>
            <w:shd w:fill="CCEEFF" w:val="clear"/>
            <w:vAlign w:val="center"/>
          </w:tcPr>
          <w:p>
            <w:pPr>
              <w:pStyle w:val="TableContents"/>
              <w:bidi w:val="0"/>
              <w:spacing w:before="0" w:after="283"/>
              <w:jc w:val="left"/>
              <w:rPr/>
            </w:pPr>
            <w:hyperlink w:anchor="sa_028">
              <w:r>
                <w:rPr>
                  <w:rStyle w:val="InternetLink"/>
                  <w:rFonts w:ascii="Times New Roman;Times;Serif" w:hAnsi="Times New Roman;Times;Serif"/>
                  <w:b w:val="false"/>
                  <w:i w:val="false"/>
                  <w:caps w:val="false"/>
                  <w:smallCaps w:val="false"/>
                  <w:sz w:val="20"/>
                </w:rPr>
                <w:t>Signature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bl>
    <w:p>
      <w:pPr>
        <w:pStyle w:val="TextBody"/>
        <w:pBd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7" w:name="a_001"/>
      <w:bookmarkEnd w:id="37"/>
      <w:r>
        <w:rPr>
          <w:rFonts w:ascii="Times New Roman;Times;Serif" w:hAnsi="Times New Roman;Times;Serif"/>
          <w:b/>
          <w:i w:val="false"/>
          <w:caps w:val="false"/>
          <w:smallCaps w:val="false"/>
          <w:sz w:val="20"/>
        </w:rPr>
        <w:t xml:space="preserve">INTRODUCTION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annual report only:</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means the board of directors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or “shares” means our ordinary shares of par value of US$0.000025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 or “SGD” or “Singapore Dollars” means Singapore dollar(s), the lawful currency of Singapore.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 or “USD” or “United States Dollars” means United States dollar(s), the lawful currency of the United States of America.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refers to generally accepted accounting principles in the United States.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includes our audited consolidated financial statements for the years ended December 31, 2023, 2024 and 2025, and the related notes.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site addresses in this annual report are included for reference only and the information contained in any website, including our website, is not incorporated by reference into, and does not form part of, this annual report.</w:t>
      </w:r>
    </w:p>
    <w:p>
      <w:pPr>
        <w:pStyle w:val="TextBody"/>
        <w:pBdr/>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8" w:name="a_002"/>
      <w:bookmarkEnd w:id="38"/>
      <w:r>
        <w:rPr>
          <w:rFonts w:ascii="Times New Roman;Times;Serif" w:hAnsi="Times New Roman;Times;Serif"/>
          <w:b/>
          <w:i w:val="false"/>
          <w:caps w:val="false"/>
          <w:smallCaps w:val="false"/>
          <w:sz w:val="20"/>
        </w:rPr>
        <w:t xml:space="preserve">FORWARD-LOOKING STATEMENTS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that are based on our current expectations, assumptions, estimates and projections about us and our industry. All statements other than statements of historical facts in this annual report are forward-looking statements. In some cases, these forward-looking statements can be identified by words and phrases such as “may,” “could,” “will,” “should,” “would,” “expect,” “plan,” “intend,” “anticipate,” “believe,” “estimate,” “predict,” “potential,” “project” or “continue” or the negative form of these words and phrases or other comparable expressions. The forward-looking statements included in this annual report relate to, among others: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strategies and our various measures to implement such strategies;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including development and capital expenditure plans for our existing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policies, legislation, regulations or practices in the industry and those countries or territories in which we operate that may affect our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results of operations and dividend policy;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political and economic conditions and competition in the area in which we operate, including a downturn in the general economy;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and industry outlook in 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developments in the provision of equipment, value added solutions and maintenance and repair services market and actions of our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catastrophic losses from man-made or natural disasters, such as fires, floods, windstorms, earthquakes, diseases, epidemics, other adverse weather conditions or natural disasters, war, international or domestic terrorism, civil disturbances and other political or social occurrences;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personnel and the inability to replace such personnel on a timely basis or on terms acceptable to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economic environment and general market and economic conditions in the jurisdictions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need for capital and the availability of financing and capital to fund those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anticipate and respond to changes in the markets in which we operate, and in client demands, trends and preferences;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including fluctuations in the exchange rates of currencies that are used in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or rates of inflation;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regulatory and other proceedings arising out of our operations.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heading “Item 3. Key Information—D.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The forward-looking statements made in this annual report relate only to events or information as of the date on which the statements are made in this annual report. All forward-looking statements included herein attributable to us or other parties or any person acting on our behalf are expressly qualified in their entirety by the cautionary statements contained or referred to in this section and under the heading “Risk Factors” below. Except to the extent required by applicable laws and regulations, we undertake no obligation to update any forward-looking statements to reflect events or circumstances after the date on which the statements are made or to reflect the occurrence of unanticipated events.</w:t>
      </w:r>
    </w:p>
    <w:p>
      <w:pPr>
        <w:pStyle w:val="TextBody"/>
        <w:pBd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9" w:name="a_003"/>
      <w:bookmarkEnd w:id="39"/>
      <w:r>
        <w:rPr>
          <w:rFonts w:ascii="Times New Roman;Times;Serif" w:hAnsi="Times New Roman;Times;Serif"/>
          <w:b/>
          <w:i w:val="false"/>
          <w:caps w:val="false"/>
          <w:smallCaps w:val="false"/>
          <w:sz w:val="20"/>
        </w:rPr>
        <w:t>PART I.</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0" w:name="a_004"/>
      <w:bookmarkEnd w:id="40"/>
      <w:r>
        <w:rPr>
          <w:rFonts w:ascii="Times New Roman;Times;Serif" w:hAnsi="Times New Roman;Times;Serif"/>
          <w:b/>
          <w:i w:val="false"/>
          <w:caps w:val="false"/>
          <w:smallCaps w:val="false"/>
          <w:sz w:val="20"/>
        </w:rPr>
        <w:t xml:space="preserve">ITEM 1. IDENTITY OF DIRECTORS, SENIOR MANAGEMENT AND ADVISERS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1" w:name="a_005"/>
      <w:bookmarkEnd w:id="41"/>
      <w:r>
        <w:rPr>
          <w:rFonts w:ascii="Times New Roman;Times;Serif" w:hAnsi="Times New Roman;Times;Serif"/>
          <w:b/>
          <w:i w:val="false"/>
          <w:caps w:val="false"/>
          <w:smallCaps w:val="false"/>
          <w:sz w:val="20"/>
        </w:rPr>
        <w:t xml:space="preserve">ITEM 2. OFFER STATISTICS AND EXPECTED TIMETABLE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2" w:name="a_006"/>
      <w:bookmarkEnd w:id="42"/>
      <w:r>
        <w:rPr>
          <w:rFonts w:ascii="Times New Roman;Times;Serif" w:hAnsi="Times New Roman;Times;Serif"/>
          <w:b/>
          <w:i w:val="false"/>
          <w:caps w:val="false"/>
          <w:smallCaps w:val="false"/>
          <w:sz w:val="20"/>
        </w:rPr>
        <w:t xml:space="preserve">ITEM 3. KEY INFORMATION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Singapore-based provider of turnkey project solutions. Our business primarily consists of sales of heavy equipment and parts, heavy equipment rental and provision of engineering consultancy services to port, construction, civil engineering and underground foundation industries. The equipment we provide is categorized into (i) foundation equipment; (ii) hoist equipment; (iii) excavation equipment; and (iv) port machinery. The Company also provides value-added engineering solutions under engineering consultancy services with the aim to address potential safety issues, enhance reliability and productivity and allow for customers to evaluate the performance of the equipment, the quality of the work completed and the progress of their projects. Ten-League’s mission is to provide high-quality equipment, value-added engineering solutions as well as maintenance and repair through continuous adaptation and application of new technologies.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supplying fully electric reach stacker and empty container handler to port operators in Singapore since 2021 and have been contracted to supply electric prime movers with swappable battery pack and build charging infrastructure since October 2022 by a leading port operator based in Singapore, or the Leading Port Operator. Meanwhile, we are actively exploring the market for fully electric wheel loader, excavator and forklift, and offering them as a part of our fleet of electrified equipment.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Structure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on March 17, 2023 under the Companies Act as an exempted company with limited liability. Our authorized share capital was US$500,000 divided into 500,000,000 ordinary shares, par value of US$0.001 each at the time of incorporation. On February 16, 2024, we allotted and issued 999,000 shares of a par value of US$0.001 each to the existing shareholders of our Company on that date pro rata to their then shareholding in our Company at par. After the completion of the forward split on February 16, 2024 on the basis of 40 ordinary shares for every one share of our Company, our authorized share capital was changed to US$500,000 divided into 20,000,000,000 ordinary shares with par value of US$0.000025 each (the “</w:t>
      </w:r>
      <w:r>
        <w:rPr>
          <w:rFonts w:ascii="Times New Roman;Times;Serif" w:hAnsi="Times New Roman;Times;Serif"/>
          <w:b/>
          <w:i w:val="false"/>
          <w:caps w:val="false"/>
          <w:smallCaps w:val="false"/>
          <w:sz w:val="20"/>
        </w:rPr>
        <w:t>Forward Split</w:t>
      </w:r>
      <w:r>
        <w:rPr>
          <w:rFonts w:ascii="Times New Roman;Times;Serif" w:hAnsi="Times New Roman;Times;Serif"/>
          <w:b w:val="false"/>
          <w:i w:val="false"/>
          <w:caps w:val="false"/>
          <w:smallCaps w:val="false"/>
          <w:sz w:val="20"/>
        </w:rPr>
        <w:t>”). Following the completion of the Forward Split and the surrender of 10,409,585 shares by Ten-League Corp, 597,971 shares by LJSC Holdings, 597,971 shares by Undersea Capital and 597,971 shares by Jules Verne (the “</w:t>
      </w:r>
      <w:r>
        <w:rPr>
          <w:rFonts w:ascii="Times New Roman;Times;Serif" w:hAnsi="Times New Roman;Times;Serif"/>
          <w:b/>
          <w:i w:val="false"/>
          <w:caps w:val="false"/>
          <w:smallCaps w:val="false"/>
          <w:sz w:val="20"/>
        </w:rPr>
        <w:t>Share Surrenders</w:t>
      </w:r>
      <w:r>
        <w:rPr>
          <w:rFonts w:ascii="Times New Roman;Times;Serif" w:hAnsi="Times New Roman;Times;Serif"/>
          <w:b w:val="false"/>
          <w:i w:val="false"/>
          <w:caps w:val="false"/>
          <w:smallCaps w:val="false"/>
          <w:sz w:val="20"/>
        </w:rPr>
        <w:t>”) and prior to our initial public offering, our total issued shares are held as to 23,710,415 shares by Ten-League Corp, 1,362,029 shares by Jules Verne, 1,362,029 shares by LJSC Holdings and 1,362,029 shares by Undersea Capital. Prior to a group reorganization involving the transfer of the entire issued share capital of Ten-League (E&amp;T) and Ten-League (PES) to Ten-League Venture Capital Limited, or Ten-League Venture, which is a company incorporated in the British Virgin Islands on June 9, 2023 with limited liability, our Group comprised Ten-League (E&amp;T) and Ten-League (PES) each of which was wholly-owned by Ten-League Corp. Upon completion of our reorganization whereby the entire share capital of Ten-League (E&amp;T) and Ten-League (PES) were transferred to us, our Group comprised Ten-League Venture, Ten-League (E&amp;T) and Ten-League (PES) as our direct and indirect wholly-owned subsidiaries, respectively.</w:t>
      </w:r>
    </w:p>
    <w:p>
      <w:pPr>
        <w:pStyle w:val="TextBody"/>
        <w:pBd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our initial public offering, there were 29,404,342 issued and outstanding ordinary shares of the Company, par value US$0.000025 per share. On April 13, 2026, we held an extraordinary general meeting of shareholders and passed on an ordinary resolution to (i) approve one or more share consolidations of the Company’s issued and unissued ordinary shares, par value US$0.000025 per share, at a ratio of not less than two (2)-for-one (1) and not more than twenty (20)-for-one (1) or the maximum consolidation ratio then permitted under applicable Nasdaq rules and requirements aggregately (the “</w:t>
      </w:r>
      <w:r>
        <w:rPr>
          <w:rFonts w:ascii="Times New Roman;Times;Serif" w:hAnsi="Times New Roman;Times;Serif"/>
          <w:b/>
          <w:i w:val="false"/>
          <w:caps w:val="false"/>
          <w:smallCaps w:val="false"/>
          <w:sz w:val="20"/>
        </w:rPr>
        <w:t>Range</w:t>
      </w:r>
      <w:r>
        <w:rPr>
          <w:rFonts w:ascii="Times New Roman;Times;Serif" w:hAnsi="Times New Roman;Times;Serif"/>
          <w:b w:val="false"/>
          <w:i w:val="false"/>
          <w:caps w:val="false"/>
          <w:smallCaps w:val="false"/>
          <w:sz w:val="20"/>
        </w:rPr>
        <w:t>”), with the exact ratio to be set as a whole number within the Range and the exact date to be determined by the Board in its sole discretion within two years after the date of passing of these resolutions (each a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 Consolidations</w:t>
      </w:r>
      <w:r>
        <w:rPr>
          <w:rFonts w:ascii="Times New Roman;Times;Serif" w:hAnsi="Times New Roman;Times;Serif"/>
          <w:b w:val="false"/>
          <w:i w:val="false"/>
          <w:caps w:val="false"/>
          <w:smallCaps w:val="false"/>
          <w:sz w:val="20"/>
        </w:rPr>
        <w:t>”) provided that the aggregate ratio across all such Share Consolidations shall not exceed twenty (20)-for-one (1) or such lower cap as imposed by Nasdaq at the time of implementation and that no fractional share shall arise from the Share Consolidations; (ii) authorize the Company to round up any fractional shares resulting from the Share Consolidations to the nearest whole ordinary share; and (iii) authorize the Board to, at its sole and absolute discretion, implement one or more Share Consolidations, determine the exact consolidation ratio and the exact effective date of such Share Consolidation, instruct the registered office provider or transfer agent of the Company to complete the necessary corporate record(s) and filing(s) to reflect the Share Consolidation(s) and do all other such acts and things as the Board considers necessary or desirable for the purposes of the transactions contemplated by the Share Consolidation(s).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Corporate Structure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our corporate structure as of the date of this annual report.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3810000" cy="431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4314825"/>
                    </a:xfrm>
                    <a:prstGeom prst="rect">
                      <a:avLst/>
                    </a:prstGeom>
                  </pic:spPr>
                </pic:pic>
              </a:graphicData>
            </a:graphic>
          </wp:inline>
        </w:drawing>
      </w:r>
      <w:r>
        <w:rPr>
          <w:caps w:val="false"/>
          <w:smallCaps w:val="false"/>
        </w:rPr>
        <w:t>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during our last fiscal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pStyle w:val="TextBody"/>
        <w:pBdr/>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provide only two years of audited financial statements (rather than three years), in addition to any required unaudited interim financial statements, with correspondingly reduced “Management’s Discussion and Analysis of Financial Condition and Results of Operations” disclosure;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of the Sarbanes-Oxley Act of 2002, on the effectiveness of our internal control over financial reporting.</w:t>
            </w:r>
          </w:p>
        </w:tc>
      </w:tr>
    </w:tbl>
    <w:p>
      <w:pPr>
        <w:pStyle w:val="TextBody"/>
        <w:pBd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reporting exemptions until we are no longer an emerging growth company. We will remain an emerging growth company until the earliest of (1) the last day of the fiscal year in which the fifth anniversary of the completion of initial public offering occurs, (2) the last day of the fiscal year in which we have total annual gross revenue of at least US$1.235 billion, (3) the date on which we are deemed to be a “large accelerated filer” under the United States Securities Exchange Act of 1934, as amended, or the Exchange Act, which means the market value of our ordinary shares that are held by non-affiliates exceeds US$700.0 million as of the prior December 31, and (4) the date on which we have issued more than US$1.0 billion in non-convertible debt during the prior three-year period. We may choose to take advantage of some, but not all, of the available exemptions. We have included two years of selected financial data in this annual report in reliance on the first exemption described above. Accordingly, the information contained herein may be different from the information you receive from other public companies in which you hold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company incorporated in the Cayman Islands, we are permitted to adopt certain home country practices in relation to corporate governance matters that differ significantly from the corporate governance listing requirements of the Nasdaq corporate governance listing standards, We rely on home country practice to be exempted from certain of the Nasdaq corporate governance listing standards, such that a majority of our directors, or directors on our board of directors, or the Board, are not required to be independent directors.</w:t>
      </w:r>
    </w:p>
    <w:p>
      <w:pPr>
        <w:pStyle w:val="TextBody"/>
        <w:pBdr/>
        <w:bidi w:val="0"/>
        <w:spacing w:before="0" w:after="0"/>
        <w:ind w:left="0" w:right="0" w:firstLine="36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pBdr/>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15"/>
        <w:gridCol w:w="27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15"/>
        <w:gridCol w:w="11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shares is highly speculative and involves a significant degree of risk. You should carefully consider the following risks, as well as other information contained in this annual report, before making an investment in our Company. The risks discussed below could materially and adversely affect our business, prospects, financial condition, results of operations, cash flows, ability to pay dividends and the trading price of our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also contains forward-looking statements having direct and/or indirect implications on our future performance. Our actual results may differ materially from those anticipated by these forward-looking statements due to certain factors, including the risks and uncertainties faced by us, as described below and elsewhere in this annual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 and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SANY. There can be no assurance that we will be able to renew our distribution agreements with SANY on the same terms or at all, or that the distribution arrangements will not be terminated prematurely.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substantially all of our equipment from SANY. SANY is one of the world’s largest heavy equipment manufacturers and the first in its industry in China to be ranked among the FT Global 500 and the Forbes Global 2000. Our purchases from SANY represented 71.1%, 67.2% and 64.5%, respectively, of our cost of revenue for the years ended December 31, 2023, 2024 and 2025. We have entered into a service dealer agreement with SANY on January 1, 2021, with an initial term of one year which is automatically renewable on an annual basis unless SANY terminates it. In addition, each of our operating subsidiaries, namely, Ten-League (E&amp;T) and Ten-League (PES), entered into a non-exclusive dealership agreement with SANY in 2019. Both dealership agreements expired in 2021. The dealership agreement between Ten-League (PES) and SANY was renewed in December 2023, with an initial term of three years, which can be further renewed upon the prior agreement of both parties. We are currently in the process of renewing the dealership agreement entered between SANY and Ten-League (E&amp;T), and have been conducting business with SANY on the same terms as those described in the dealership agreement. For the year ended December 31, 2025 and up to the date of this report, we did not encounter any material supply chain disruptions as a result of our reliance on SANY.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distribution arrangements with SANY are non-exclusive in nature, and SANY reserves the right to directly supply the same products in Singapore or to engage other distributors to supply the same products in Singapore, which would increase our competition for customers. In this case, our business, results of operations and prospects may be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distribution arrangements with SANY are subject to renewal and may be terminated by SANY upon giving the requisite notice or upon the occurrence of certain stipulated events, some of which are not entirely within our control. As such, there can be no assurance that we will be able to renew these arrangements on terms acceptable to us or at all or that these arrangements will not be terminated prematurely or modified to our detriment. Although we believe that we have alternative sources of supply for the equipment, the loss of the distributorship with SANY may have a material adverse impact on our financial condition and results of operations if we are unable to obtain comparable equipment in an adequate or timely manner.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certain legal and operational risks associated with relying on a major supplier based in the PRC.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experienced any supply chain disruptions that have had a material impact on our business operations due to our reliance on SANY, in the event of disruption or total cessation of business relationship with SANY, we may have to seek alternative sources for heavy equipment and related products which may incur additional time and cost for us and until such alternative is found on reasonable or similar terms to those with SANY. Such disruption or total cessation will have a material adverse affect on our operations which in turn may cause our share price to decline.</w:t>
      </w:r>
    </w:p>
    <w:p>
      <w:pPr>
        <w:pStyle w:val="TextBody"/>
        <w:pBd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and prior court decisions can only be cited as references. The PRC government has been developing a comprehensive system of laws and regulations governing economic matters in general such as foreign investment, corporate organization and governance, commerce, taxation, finance, foreign exchange and trade. However, due to the continuous and rapid development of the PRC legal system and the limited volume of published court decisions which are non-binding in nature, the interpretations and enforcement of laws, regulations and rules may be inconsistent and involve uncertainties, which may limit legal protections available to us in the event of dispute arising with SANY. Enacted laws and regulations may not sufficiently cover all aspects of economic activities in the PRC, or may be unclear or inconsistent. Even where adequate laws exist in the PRC, the enforcement of existing laws or contracts may be uncertain or sporadic, and it may be difficult to obtain swift and equitable enforcement of a judgment by a court.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future developments in the PRC legal system, including the promulgation of new laws, changes to existing laws and the interpretation or enforcement thereof, and the effects of such developments on SANY’s industry which in turn may affect our ability to obtain heavy equipment and parts from them. Therefore, notwithstanding that we have no presence in the PRC and the above does not directly apply to us or directly affect our daily operations, such future developments would have implications on SANY, which in turn could affect the supply of heavy equipment and related products to us.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key management and skilled personnel for our continued success and growth.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attribute our success and growth to-date largely to the contributions and expertise of our directors and executive officers, all of whom have extensive experience in our business or relevant industries. Our founder, Mr. Lim Jison, or Mr. Lim, has worked in the industry for over 25 years, has grown our business since our inception, and is instrumental to our continued success, formulating business strategies and spearheading the growth of our business. He possesses extensive industry knowledge and comprehensive global and local industry network, is familiar with all aspects of our business operations and has established good relationships with customers and suppliers. He is supported by our executive officers, who play an important role in implementing our overall business strategy, managing our operations and executing our corporate development activities.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is no assurance that we will be able to continue to retain the services of our key personnel. Even though we have obtained a keyman insurance for Mr. Lim upon listing, the resignation or the loss of the services of Mr. Lim or any of our directors, executive officers or other key personnel without suitable and timely replacement or the inability to attract and retain qualified management personnel, may materially and adversely affect our business, results of operations and prospects. Further, in the event that we need to increase employee compensation levels substantially to attract and/or retain any key management personnel, our costs may increase, and our results of operations may be materially and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and growth are also dependent upon our ability to recruit and retain skilled and qualified personnel such as design, engineering and technical personnel. Skilled personnel with the appropriate experience in the industries we operate in are limited and competition for the employment of such personnel is intense. Even though we intend to continue to devote significant resources to recruit, train and retain such personnel, there is no assurance that we will be able to attract the necessary skilled personnel to work for us or that we will be able to retain the skilled personnel or that suitable and timely replacements can be found for skilled personnel who leave us. Further, competition for skilled qualified employees may result in us having to pay higher wages to attract and retain our employees, which may result in higher labor costs, which in turn may materially and adversely affect our results of operations. If we are unable to continue to attract and retain skilled employees, this will adversely affect our business and prospects.</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environment and face competition from existing and new industry players.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environment and our success depends to a large extent on our ability to compete against other industry players on, among other things, reputation, track record, pricing, product range, delivery times and customer service.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compete effectively against our existing and future competitors and adapt quickly to changing market conditions and trends. Failure to keep abreast of technological advancements and industry developments may result in failure to provide services in a cost-effective and efficient manner compared to our competitors, which may lead to loss of customers. Our business and results of operations may be adversely affected if competition intensifies. Any failure by us to remain competitive will adversely affect our business, financial condition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competitors may enter the industry, resulting in increased competition, which in turn may result in us losing our existing customers and not being able to secure new customers. There is no assurance that we will be able to compete successfully in the future against our existing or potential competitors or that our business, financial condition and results of operations will not be adversely affected by increased competition.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foreign labor and may face labor shortages or increased costs of labor for our Singapore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significant number of foreign workers (including skilled workers) for our Singapore operations, and we are vulnerable to changes in the availability and costs of employing foreign workers. As of December 31, 2025, out of our total employees in Singapore, approximately 62.86% are foreign workers who mainly work in servicing and operations. The supply and costs of skilled workers are subject to demand and supply conditions in the labor market and the local and foreign governments’ labor regulations and visa restrictions.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availability of both skilled and unskilled foreign labor is subject to policies imposed by the Ministry of Manpower of Singapore, or MOM, and the foreign affairs and labor policies of the countries in which these foreign workers are domiciled. For instance, the availability of foreign employees in Singapore is regulated by MOM through policy measures such as the imposition of levies and quotas known as dependency ratio ceilings, being the percentage of foreign employees permitted in a company’s total workforce. We are susceptible to any increase in such levies and any changes in the supply and/or quota of foreign employees that it is permitted to hire. The availability, requirements and cost of housing for such workers are also subject to government policies. Any changes in such policies may affect the supply of foreign manpower and cause disruptions to our operations which will result in an increase in our labor costs and may have a material adverse impact on our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in competition for foreign workers, especially skilled workers, will increase our labor costs. Consequently, if we are not able to pass on the increase in labor costs to our customers, our results of operations will be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 number of operating risks.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exposed to the risk of equipment failure, risk of failure by employees to follow procedures and protocols as well as inherent risks in operating equipment and machinery, resulting in damage to or loss of any relevant machines, equipment or facilities required in a project or personal injury. A major operational failure could result in loss of life and/or serious injury, damage to or loss of the machines, equipment or facilities and protracted legal disputes and damage to our reputation. In the event of an operational or equipment failure, we may be forced to cease part of our operations and/or be subject to a penalty or incur extra costs or expenses in any dispute as a result of such operational or equipment failure.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industry we operate in is highly regulated by the Land Transport Authority of Singapore, or LTA, MOM, the National Environment Agency of Singapore, or NEA, and other regulatory authorities in Singapore. Where there is a non-compliance of any regulatory requirements of LTA, MOM, NEA or other regulatory authorities, we will be subject to penalties as may be imposed by them and/or may be required to cease operations until we comply with the requirements of the relevant authorities. This may have an adverse impact on our business and results of operations.</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implementing our business strategies and future plans.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strategies and future plans, we intend to further expand our product portfolio to include additional models of fully electric equipment, expand our engineering, procurement, construction and commissioning, or EPCC, service for deploying charging solutions in Singapore and deepen collaboration with our strategic partners and further expand and diversify our engineering solutions and options, among others. While such plans are based on our outlook regarding our business prospects, there is no assurance that such expansion plans will be commercially successful or that the actual outcome of those plans will match our expectations. The success and viability of our plans are dependent upon our ability to successfully carry out our overall electrification strategy and implement corresponding strategic business development and marketing plans effectively and upon an increase in demand for our products and services by existing and new customers in the future.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implementation of our business strategies and future plans may require substantial capital expenditure and additional financial resources and commitments. There is no assurance that these business strategies and future plans will achieve the expected results or outcome such as an increase in revenue that will be commensurate with our investment costs or the ability to generate any costs savings, increased operational efficiency and/or productivity improvements to our operations. There is also no assurance that we will be able to obtain financing on terms that are favorable, if at all. If the results or outcome of our future plans do not meet our expectations, if we fail to achieve a sufficient level of revenue or if we fail to manage our costs efficiently, we may be unable to recover our investment costs and our business, financial condition, results of operation and prospects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level of activities in the construction and infrastructure, civil engineering and foundation industries.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mainly in the construction and infrastructure, civil engineering and foundation industries in Singapore. In particular, a significant portion of our customer base consists of those who are heavily involved in infrastructure and government projects. Thus, the demand for our products and services is dependent, to a large extent, on the level of business activities in these industries and the business activities emerging from such infrastructure and government-related projects in Singapore. These industries are cyclical in nature. Any decline in the businesses of these industries or a broad economic downturn in Singapore may lead to a decrease in the demand for equipment or depress rental rates and the sales prices for our equipment, which in turn, will have an adverse effect on our business, results of operations and prospects. We may be unable to predict the timing, extent or duration of such activity cycles of these industries. In addition, our business may be negatively impacted, either temporarily or long-term, by a number of factors out of our control, including:</w:t>
      </w:r>
    </w:p>
    <w:p>
      <w:pPr>
        <w:pStyle w:val="TextBody"/>
        <w:pBdr/>
        <w:bidi w:val="0"/>
        <w:spacing w:before="0" w:after="0"/>
        <w:ind w:left="0" w:right="0" w:hanging="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spending levels by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credit markets affecting end-user access to capital;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government infrastructure spending;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cost of construction materials;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 or natural disasters which may affect a particular region;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disruptions;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and epidemics, such as COVID-19.</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react to the cyclical downturn or the factors that are out of our control effectively, our business, financial condition, results of operations and prospects may be adversely affected.</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long-term contracts with our customers.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definite and long-term purchase or rental contracts with our customers for the various products and services we provide, and our customers typically make their purchases or rentals on a project needs basis. These customers may also decide to make purchases or rentals from our competitors. While we have good business relationships with our customers, there can be no assurance that they will not significantly reduce and/or delay their orders or stop making purchases or rentals from us in the future. There also can be no assurance that business relationships with these customers would remain cordial or that they would continue to be satisfied with our quality of service. If our major customers or a significant number of our other customers were to make purchases or rentals from sources other than us and if we are unable to secure alternative orders of comparable size, whether from new or existing customers, our business, financial condition, results of operations and prospects may be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that our heavy equipment fleet for our Equipment Rental Business is not being rented out, we will have to bear the costs incurred the maintenance of such heavy equipment which are not being deployed or rented. It is also difficult for us to accurately anticipate the level of heavy equipment that is required due to the fact that most of our rentals are made on a short term or project needs basis. There can be no assurance that our rental equipment fleet will be fully and efficiently utilized. In the event that we have to incur additional fixed costs towards the maintenance of the rental equipment fleet, it may result in a material adverse impact on our business, results of operations and prospects. We may also have to take into account depreciation charges incurred for our heavy equipment.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timely delivery of the heavy equipment and other products which we distribute.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do not maintain significant levels of inventories and typically only place orders based on our forecasted demand. However, due to recent market conditions, we have been maintaining inventories in order to fulfil market demand on short notice. There can also be no assurance that our suppliers will be able to fulfill our purchase requirements in adequate quantities on a timely basis or at all. If any of these events were to occur, we will be unable to fulfill our customers’ orders on a timely basis or at all or we may have to satisfy our purchase requirements from alternative sources in limited quantities or at higher costs, and may be liable for breach of contract with our customers pursuant to the non-fulfilment or partial fulfilment of the contract terms. Further, any significant delay or disruption in the delivery of products by our suppliers may affect our ability to fulfill our customers’ orders which in turn could result in loss of sales and could affect customer satisfaction and our reputation. In any of such events, our business, financial condition, results of operations and prospects will be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work safety-related accidents that may expose us to liability claims.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our operations, it is also subject to the risk of our employees or third parties being involved in accidents or mishaps at our premises or our customers’ premises. These accidents may occur as a result of non-compliance with safety measures or various other reasons, and may have a material adverse impact on our track record and reputation. In the event of such accidents, we will have to incur costs to make good our premises, machinery, equipment or inventory or to relocate to alternative premises. Such accidents or mishaps may also disrupt our operations and lead to delays in the completion of our projects, and in the event of such delays, we could be liable to pay liquidated damages under the terms of contracts with our customers.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the event we are found to be liable for any such accidents, penalties or damages may be imposed upon us. Our business, financial condition and results of operations may also be affected if we have to incur a significant amount of legal costs in the event that we are involved in legal proceedings, even if we are not found to be liable for any claims as a result of such proceedings.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accidents which are not covered by the insurance or work injury compensation policies taken by us, or if claims arising from such accidents are in excess of our insurance coverage and/or any of our insurance claims is contested by the insurance companies, we will be required to pay such compensation and our results of operations may be materially and adversely affected as a result. In addition, such insurance claims may result in increases in our insurance premiums.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rental fleet is subject to residual value risk upon disposition.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any given piece of rental equipment could be less than its depreciated value at the time it is sold. The market value of used rental equipment depends on several factors, including:</w:t>
      </w:r>
    </w:p>
    <w:p>
      <w:pPr>
        <w:pStyle w:val="TextBody"/>
        <w:pBdr/>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new equipment of a like kind;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wear and tear on the equipment relative to its 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when it is sold;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worldwide and domestic demands for used equipment;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of used equipment on the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w:t>
            </w:r>
          </w:p>
        </w:tc>
      </w:tr>
    </w:tbl>
    <w:p>
      <w:pPr>
        <w:pStyle w:val="TextBody"/>
        <w:pBdr/>
        <w:bidi w:val="0"/>
        <w:spacing w:before="0" w:after="0"/>
        <w:ind w:left="0" w:right="0" w:hanging="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timing of when the equipment is sold, prices are generally higher when contracts/projects are awarded by the Building and Construction Authority of Singapore, or the BCA. That is because when the BCA awards more contracts/projects, it is expected to drive up demand for heavy equipment resulting in a corresponding increase in the price of the equipment.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decline in the selling prices for used equipment could have a material adverse effect on our business, financial condition, results of operations or 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rental fleet ages, our operating costs may increase, we may be unable to pass along such costs, and our earnings may decrease.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new equipment we use in our fleet may increase, requiring us to spend more for replacement equipment or preventing us from procuring equipment on a timely basis. If our rental equipment ages, the costs of maintaining such equipment, if not replaced within a certain period of time, will likely increase. The costs of maintenance may materially increase in the future and could lead to material adverse effects on our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new equipment for use in our rental fleet could also increase due to increased material costs for our suppliers (including tariffs on raw materials) or other factors beyond our control. Such increases could materially adversely impact our financial condition and results of operations in future periods. Furthermore, changes in customer demand could cause certain of our existing equipment to become obsolete and require us to purchase new equipment at increased costs.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maintenance and repair costs associated with our rental fleet equipment that could have a material adverse effect on our business in the event these costs are greater than anticipated.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fleet of rental equipment ages, the cost of maintaining such equipment, if not replaced within a certain period of time, generally increases. Determining the optimal age for our rental fleet equipment is subjective and requires considerable estimates by management. We have made estimates regarding the relationship between the age of our rental fleet equipment, maintenance and repair costs, and the market value of used equipment. Our future operating results could be adversely affected because our maintenance and repair costs may be higher than estimated and market values of used equipment may fluctuate.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climate change regulations and greenhouse effects may materially adversely impact our operations and markets.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been introducing fully electric equipment and are currently building our first battery swap station in Singapore as a part of our overall electrification strategy of adopting to a greener future, the majority of our equipment currently on offer for sales and rental remains powered by internal combustion engine. Climate change and its association with greenhouse gas emissions is receiving increased attention from the scientific and political communities. Singapore and other countries and regions have adopted or are considering legislation or regulation imposing overall caps or taxes on greenhouse gas emissions from certain sectors or facility categories. Such new laws or regulations, or stricter enforcement of existing laws and regulations, could increase the costs of operating our businesses, reduce the demand for our products and services and impact the prices we charge our customers, any or all of which could adversely affect our results of operations. Failure to comply with any legislation or regulation could potentially result in substantial fines, criminal sanctions or operational changes. Moreover, even without such legislation or regulation, the perspectives of our customers, stockholders, employees and other stakeholders regarding climate change are continuing to evolve, and increased awareness of, or any adverse publicity regarding, the effects of greenhouse gases could harm our reputation or reduce customer demand for our products and services.</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severe weather events become increasingly common, our or our customers’ operations may be disrupted, which could result in increased operational costs or reduced demand for our products and services and extended periods of disruptions could have an adverse effect on our results of operations. In addition, climate change may also reduce the availability or increase the cost of insurance for weather-related events as well as may impact the global economy, including as a result of disruptions to supply chains. We anticipate that climate change-related risks will increase over time.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funding for our future growth and are dependent on financing to fund our purchase of equipment for our Equipment Rental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such circumstance, we may need to obtain debt or equity financing to fund our business and future growth. There is no assurance that we will be able to obtain additional financing on terms that are acceptable to us or at all. If we are unable to do so, our future plans and growth prospects may be adversely affected. In addition, we require financing to fund our purchase of heavy equipment for our Equipment Rental Business. If we are unable to secure financing for this purpose, our ability to renew or expand our fleet to meet our equipment rental requirements may be adversely affected and could have a material and adverse effect on our business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financing requirements are met by way of debt financing, apart from increasing our interest expense and gearing, we may have restrictions placed on us through such debt financing arrangements which may (a) limit our ability to pay dividends or require us to seek consents for the payment of dividends; (b) increase our vulnerability to general adverse economic and/or industry conditions; (c) require us to dedicate a substantial portion of our cash flow from operations to payments on our debt, thereby reducing the availability of our cash flows to fund capital expenditure, working capital and other requirements; and/or (d) limit our flexibility in planning for, or reacting to, changes in our business and our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borrowing facilities bear interests at fixed and variable rates. Any significant increase in prevailing interest rates or at the time of refinancing of our borrowing facilities could have a material and adverse effect on our business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sufficient credit facilities will be available when needed or that, if available, such credit facilities will be obtained on terms that are acceptable to us. There is also no guarantee that the terms for credit facilities will be as favorable as those previously obtained. Our ability to obtain credit facilities for our requirements depends, among other things, on the prevailing economic conditions, our results of operations and the general condition of our industry. Inability to secure additional financing may materially and adversely affect our business, implementation of our business strategies and future plans as well as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risks associated with joint ventures or strategic alliances.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opportunities for growth through acquisitions, joint ventures, investments and partnerships. There is no assurance that any of these efforts will be successful. The acquisitions and investments that we may make, or joint ventures and partnerships that we may enter into, may expose us to additional business or operating risks or uncertainties, including but not limited to the following:</w:t>
      </w:r>
    </w:p>
    <w:p>
      <w:pPr>
        <w:pStyle w:val="TextBody"/>
        <w:pBdr/>
        <w:bidi w:val="0"/>
        <w:spacing w:before="0" w:after="0"/>
        <w:ind w:left="0" w:right="0" w:firstLine="72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effectively integrate and manage the acquired businesses;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of us to exert control over the actions of our joint venture partners, including any non-performance, default or bankruptcy of the joint venture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and resources expended to coordinate internal systems, controls, procedures and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ongoing business and diversion of our management’s time and attention from its day-to-day operations and other business concerns;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entering markets that we may have no or limited prior experience or dealing with new counterparties;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key employees and customers of our existing business and acquired businesses;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an investment or acquisition may reduce our future earnings;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disagreements between us and our joint venture partners (if any) regarding the business and operations of our joint ventures, there is no assurance that we will be able to resolve them in a manner that will be favorable to us. In addition, such joint venture partners may (i) have economic or business interests or goals that are inconsistent with that of ours; (ii) take actions contrary to our instructions, requests, policies or objectives; (iii) be unable or unwilling to fulfil their obligations; (iv) have financial difficulties; or (v) have disputes with us as to the scope of their responsibilities and obligations. Any of these and other factors may adversely affect the business and operations of our joint ventures, which may in turn adversely affect our business, financial condition, results of operations and prospects.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implement our growth strategy or are unable to address the risks associated with our acquisitions, joint ventures, investments and partnerships, or if we encounter unforeseen difficulties, complications or delays frequently encountered in connection with the integration of acquired businesses and the expansion of operations, or fail to achieve acquisition synergies, our business, financial condition, results of operations and prospects may be materially and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affected by any adverse impact on our reputation and goodwill.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reputation as one of the reliable providers of turnkey project solutions in Singapore to port, construction, civil engineering and underground foundation industries. Any negative publicity about us, our directors, our executive officers or our substantial shareholders, whether founded or unfounded, may tarnish our reputation and goodwill with our customers and suppliers. Such negative publicity may include, among other things, unsuccessful attempts in joint ventures, acquisitions or take-overs, or involvement in litigation, insolvency proceedings or investigations by government authorities.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circumstances, our customers and suppliers may lose confidence in our business, our directors, our executive officers or our substantial shareholders, and this could affect our business relationships with them and their referral of new business opportunities to us. This may have a material and adverse impact on our business, results of operations and prospects.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conditions in the global financial markets and the general economy may adversely affect our business, financial condition, results of operations and prospects.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current business operates in Singapore, our business, financial condition, results of operations and prospects may be adversely affected by political, economic, social and legal developments in Singapore and globally that are beyond our control. Such political and economic uncertainties include, but are not limited to, the risks of war, terrorism, changes in interest rates, rates of economic growth, fiscal and monetary policies of the government, inflation, deflation, methods of taxation and tax policy, unemployment trends, and other matters that influence consumer confidence, spending and tourism.</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negative developments in geo-political events such as the US-China trade issues may bring uncertainty to the global economy. Any of such issues may lead to retaliatory and/or threat of retaliatory measures being imposed on the relevant countries. This may lead to volatility in the financial markets. The nature and extent of such changes are difficult to predict, and may bring uncertainty to the global economy and/or political environment. There is no assurance that we will be able to grow our business, or that we will be able to react promptly to any change in economic conditions. If we fail to react promptly to the changing economic conditions, our performance and profitability could be adversely affected. Our business, financial condition, results of operations and prospects may be materially and adversely affected if these conditions deteriorate in the future.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our future plans will be successful.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plans include offering more environmentally friendly heavy equipment, expanding EPCC service for deploying charging solutions in Singapore, deepening collaboration with our strategic partners and further expanding and diversifying our engineering solutions and options, and expanding and diversifying our operations and product and service offerings through investments, mergers and acquisitions, joint ventures and/or strategic collaborations, among others. The execution of our future plans may require substantial capital expenditure, financial and management resources and/or may expose our business to unforeseen liabilities and risks associated with entering into new markets or new businesses which we have no experience in. There is no assurance that such future plans will be commercially successful and if we fail to manage our expansion efficiently, achieve the desired rate of return on our investments or execute our plans or integrate them successfully with our business for any reason, our business, financial condition, results of operations and prospects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the risk of increases in the price of spare parts and accessories or shortages of spare parts and accessories.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spare parts and accessories we use in our business may fluctuate in accordance with changes in global supply and demand. In the event of any significant rise in the prices of such spare parts and accessories and we are unable to pass on such increased costs to our customers, our business, financial condition and results of operations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spare parts and accessories as and when required based on project and budget requirements. We rely on our spare parts suppliers to deliver such spare parts and accessories based on our prevailing requirements. Although we have established good working relationships with our spare parts suppliers, there is no assurance that we will continue to be able to obtain materials from our spare parts suppliers at acceptable prices or that our spare parts suppliers would be able to meet our requirements in a timely manner. In the event that our spare parts suppliers are unable to meet our requirements for materials on terms which are favorable to us, our results of operations and profit margins may be materially and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risk of litigation.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are exposed to the risk of litigation by customers, suppliers, employees and other persons, including the risk of being joined as third parties to litigation actions or involvement in frivolous claims. For example, we may be subject to negligence claims as a result of motor accidents which occur in the course of work. These litigation actions and claims may be costly and time consuming, and could result in significant liabilities and reputational harm. We may need to incur significant legal, settlement and other costs in defending actions against us. Any litigation brought against us by our customers or other relevant parties in the future in relation to our business could have a material adverse effect on our reputation, business, growth prospects, income, operations and/or financial performance. If such legal or other proceedings are not concluded in our favor and we are found liable in such disputes for any claims and/or damages and incur legal and other costs, or if we accept settlement terms that are unfavorable to us, our business, financial condition, results of operations and prospects as well as our reputation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incur additional costs in the event of disputes, claims, defects or delays.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types of equipment, we typically extend a warranty of between one and two years or 2,000 and 5,000 working hours, whichever is earlier, for new equipment and a 10-year structural warranty for new equipment to customers who purchase new equipment from us, during which we provide repair services as needed as well as regular scheduled maintenance services. We do not extend product warranty for used equipment.</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encounter disputes with our customers in relation to non-compliance with contract specifications and defects. There can be no assurance that any such disputes and claims will not result in protracted litigation, which will have a negative impact on our results of operations and financial condition. In the event that our customers suffer loss and damage due to defects which may be attributable to us, they may claim against us, thereby adversely affecting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heightened inflation, recession, financial and credit market disruptions and other economic conditions.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operations and forecasts depend significantly on worldwide economic and geopolitical conditions, the demand for our products, and the financial condition of our customers and suppliers. Economic weakness and geopolitical uncertainty have in the past resulted, and may result in the future, in reduced demand for products resulting in decreased sales, margins and earnings. According to the Monetary Authority of Singapore, the core inflation rate in Singapore averaged 2.7% in 2024 and 0.7% in 2025. We may be unable to fully mitigate the impact of inflation through price increases, productivity initiatives and cost savings, which could have an adverse effect on our results of operations. In addition, if the Singapore economy enters a recession, we may experience sales declines which could have an adverse effect on our business, operating results and financial condition. If Singapore experiences sustained inflationary pressures and/or related interest rates increases, this could lead to our suppliers to raise their supply prices of heavy equipment and parts to us, and our customers to continue deferring the purchase of new equipment and parts from us, and our business, financial condition, results of operations and prospects could be adversely affected.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disruptions in financial and/or credit markets may impact our ability to manage normal commercial relationships with our customers, suppliers and creditors. Further, in the event of a recession or threat of a recession, our customers and suppliers may suffer their own financial and economic challenges and as a result they may demand pricing accommodations, delay payment, or become insolvent, which could harm our ability to meet our customer demands or collect revenue or otherwise could harm our business. An economic or credit crisis could occur and impair credit availability and our ability to raise capital when needed. A disruption in the financial markets could impair our banking or other business partners, on whom we rely for access to capital. In addition, changes in tax or interest rates in Singapore or other nations, whether due to recession, economic disruptions or other reasons, could have an adverse effect on our operating results. Economic weakness and geopolitical uncertainty may also lead us to impair assets, take restructuring actions or adjust our operating strategy and reduce expenses in response to decreased sales or margins. We may be unable to adequately adjust our cost structure in a timely fashion, which could have an adverse effect on our operating results and financial condition. Uncertainty about economic conditions may increase foreign currency volatility in markets in which we transact business, which could have an adverse effect on our operating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credit risks of our customers.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Equipment Sales Business, we generally offer credit periods of 30 to 60 days to our customers from the date of the invoice. Such payment is typically made by way of cash, letter of credit or telegraphic transfers. We may require certain customers to furnish a 10.0% to 20.0% deposit upon placing their orders. For our Equipment Rental Business, we typically grant our customers credit terms of generally 30 days from the date of its invoice. For projects that are less than a month in duration, we typically invoice our customers at the end of the project a lump sum fee for services rendered. For longer term projects, we will invoice our customers on a monthly basis. We may require certain new customers to make payments upfront before the commencement of the projects. As of December 31, 2025, our credit exposure as represented by our accounts receivable, net, was S$14.4 million (US$11.2 million).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over the timeliness of our customers’ payments and their ability to meet their contractual payment obligations to us. The reasons for payment delays or default by our customers may include, amongst others, a decline in their business, economic downturn, insolvency, bankruptcy, insufficient financing or working capital due to late payments by their respective end customers or exposure to fraudulent activities. In the event that we are unable to collect the trade receivables from our customers, including after enforcing our contractual rights through legal proceedings, our results of operations and financial condition may be adversely affected.</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default in payment by our customers, we may have to provide for impairments of our trade receivables or write-off bad debts, depending on the period of default. Such impairments and/or write-offs may adversely affect our profitability. As of December 31, 2023, 2024 and 2025, we made allowance for expected credit loss amounting to S$3.6 million, S$3.1 million and S$1.9 million, respectively, and wrote off loss allowance which represented 0.7%, 1.0% and 3.4% of our revenue, respectively. We would have to incur legal costs in connection with such legal action.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adopted a series of strict management measures, we may be unable to collect all accounts receivable due to a variety of factors that are outside of our control. If the relationship between us and any of our customers is terminated or deteriorated, or if our customers experience financial difficulties, our corresponding accounts receivable might be adversely affected in terms of recoverability, and our business, financial condition and results of operations may be materially and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regulatory requirements for our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various laws, rules and regulations in Singapore. In addition, we are required to obtain certain approvals and certifications for certain of the heavy equipment we supply.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be in breach of any applicable laws, rules, regulations, the relevant government or regulatory authority may take action against us, such as issue warnings, impose penalties, or impose additional conditions or restrictions. As such, we have to constantly monitor and ensure compliance with applicable laws, rules and regulations. Any failure to comply with such applicable laws, rules and regulations may materially and adversely affect our business, financial condition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existing regulations or introduction of new government legislation, regulations and policies that require our compliance may restrict or hamper its business or result in higher operating costs. Such changes may also require us to obtain additional licenses and approvals. Any difficulties or failure in obtaining such licenses and approvals could require us to cease operations until such licenses and approvals are obtained. There is no assurance that we will continue to be able to comply with the requirements of new applicable laws, regulations and policies in the countries which we operate in. This would affect our ability to meet our contractual deadlines and maintain a good business relationship with our customers.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adequate working capital for our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adequate funding either from internal resources, credit from our suppliers or bank borrowings to fund the working capital of our business. The availability of credit and the credit terms extended to us by our suppliers could depend on factors such as the length of our business relationship with them, their evaluation of our creditworthiness, the size of the orders placed with them and our payment track record. Our ability to obtain adequate financing on terms which are acceptable to us depends on a number of factors such as our financial strength, our creditworthiness and our prospects, and other factors that are beyond our control, including general economic, liquidity and political conditions, the terms on which financial institutions are willing to extend credit to us, and the availability of other sources of debt financing or equity financing. If we are unable to secure adequate financing, our business, financial condition, results of operations and prospects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affected by changes in technology.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advancement of technology and continual research and development in the industry we operate in, new services or new products may be developed. Although we have been working closely with our technology partners in providing various value-added engineering solutions under our engineering consultancy services such as sensor fusion, drive-by-wire and remote drive control system, there is no assurance that we will be able to keep up with the inventions, improvements, enhancements and new standards introduced by our competitors. The development and introduction of new technologies may adversely affect the demand for our existing products and services, or render our existing products and services obsolete. If we are not able to achieve the technological advances that may be necessary for us to remain competitive, or if we are not able to develop or distribute new products and services on a timely and cost-effective basis, our business operations and results of operations would be adversely affected.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insufficient.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different insurance policies for our business, covering damages or loss to our properties and machinery. We cannot assure potential investors that our existing insurance coverage will be sufficient to indemnify us against all of our losses in all events. The occurrence of certain incidents, including fraud, misconduct committed by our employees or third parties, severe weather conditions, earthquakes, fire, war, flooding and power outages may not be covered adequately, if at all, by our insurance policies. In the event that such damage or loss exceeds the insurance coverage procured by us, or is not covered by the insurance policies that we have taken up, we may be exposed to financial losses. Our insurance premiums may also increase substantially due to claims. In such circumstances, our results of operations will be materially and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equipment and products are subject to stringent international quality codes and standards and certification for quality control.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and rent heavy equipment, including foundation equipment, hoist equipment, excavation equipment and port machinery, and also offer engineering consultancy services including value-added engineering options and solutions, including design, customization, fabrication and integration services. Our products must meet certain standards with respect to quality and safety and accordingly, are subject to regulatory inspections, approvals and certifications. To ensure that products sold, customized, designed or fabricated by us meet the necessary standards, we are required to ensure that our products comply with stringent quality control codes and standards prescribed by international professional bodies and institutions for our industry. For example, our cranes must pass the inspections of LTA before they can be deployed. In the event that our products do not meet the required quality control codes and standards, we will be required to re-work or replace the defective products which may result in liability, project costs overrun and adversely affect our reputation. This in turn may have a material adverse effect on our business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few of our major customers.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major customers. For the years ended December 31, 2023, 2024 and 2025, sales to our five largest customers collectively accounted for approximately 38.2%, 41.3% and 45.9%, respectively, of our total net revenue, and sales to our largest customer accounted for approximately 9.5%, 18.4% and 15.2%, respectively, of our total net revenue. There is no assurance that we will be able to retain our major customers or continue to receive orders from them at current levels or prices. Any material cancellations, reduction in orders or prices and/or claims for whatever reasons by any of our major customers, may result in a material adverse impact on our business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bargaining position with our customers, such as those who transact with government bodies or agencies, may be such that they may be able to modify the terms of our agreements from time to time to our detriment notwithstanding the requirement for any such modification to be agreed in writing by both parties. If any of these events were to occur, our business, financial condition and results of operations may be adversely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growth and performance may not be indicative of our future growth and performance.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experienced growth in the past, we may fail to continue our growth or maintain our historical growth rates. You should not consider our historical growth and profitability as indicative of our future financial performance. You should consider our future operations in light of the challenges and uncertainties that we may encounter, which include our ability to, among other things:</w:t>
      </w:r>
    </w:p>
    <w:p>
      <w:pPr>
        <w:pStyle w:val="TextBody"/>
        <w:pBdr/>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increase our market share, brand recognition and reputation;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our infrastructure to enhance service efficiency and customer experience;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 existing customers and attract new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our technology and enhance our data insights;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operations to new policies, regulations and measures that may come into effect from time to time;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compelling value propositions to our customers;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into new jurisdictions and/or businesses.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sustain our past financial performances in future periods, and we may be unable to sustain profitability on a quarterly, interim or annual basis in the future. In addition, our historical interim and annual results, growth rates and profitability may not be indicative of our future performance for the corresponding periods. Our shares could be subject to significant price volatility should our earnings fail to meet the expectations of investors. Any of these events could cause the price of our shares to materially decrease.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when we become a publicly-listed company, we will be required to ensure continuing compliance with the applicable laws and regulations. Some of these efforts to ensure compliance will require our substantial resources and compliance costs, including our rectification measures to make required contributions to the social insurance and the housing provident fund for certain of our employees. These compliance costs will likely impact our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ordinary shares may not be established or, if established, may not continue and the trading price for our ordinary shares may fluctuate significantly.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our ordinary shares will be established. If an active public market for our ordinary shares does not occur following the completion of initial public offering, the market price and liquidity of our ordinary shares may be materially and adversely affected. The public offering price for our ordinary shares in the initial public offering was determined by negotiation between us and the underwriter based upon several factors, and we can provide no assurance that the trading price of our ordinary shares after the initial public offering will not decline below the public offering price. As a result, investors in our ordinary shares may experience a significant decrease in the value of their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maintain the listing of our ordinary shares on the Nasdaq which could limit investors’ ability to make transactions in our ordinary shares and subject us to additional trading restrictions.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In order to continue listing of our ordinary shares on the Nasdaq, we must maintain certain financial and share price levels and we may be unable to meet these requirements in the future. We cannot assure you that our shares will continue to be listed on the Nasdaq in the future.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we received a Staff Determination (the “</w:t>
      </w:r>
      <w:r>
        <w:rPr>
          <w:rFonts w:ascii="Times New Roman;Times;Serif" w:hAnsi="Times New Roman;Times;Serif"/>
          <w:b/>
          <w:i w:val="false"/>
          <w:caps w:val="false"/>
          <w:smallCaps w:val="false"/>
          <w:sz w:val="20"/>
        </w:rPr>
        <w:t>Staff Determination</w:t>
      </w:r>
      <w:r>
        <w:rPr>
          <w:rFonts w:ascii="Times New Roman;Times;Serif" w:hAnsi="Times New Roman;Times;Serif"/>
          <w:b w:val="false"/>
          <w:i w:val="false"/>
          <w:caps w:val="false"/>
          <w:smallCaps w:val="false"/>
          <w:sz w:val="20"/>
        </w:rPr>
        <w:t>”) from the Listing Qualifications Department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notifying the Company that, unless the Company timely requests a hearing before an independent Hearings Panel (the “</w:t>
      </w:r>
      <w:r>
        <w:rPr>
          <w:rFonts w:ascii="Times New Roman;Times;Serif" w:hAnsi="Times New Roman;Times;Serif"/>
          <w:b/>
          <w:i w:val="false"/>
          <w:caps w:val="false"/>
          <w:smallCaps w:val="false"/>
          <w:sz w:val="20"/>
        </w:rPr>
        <w:t>Panel</w:t>
      </w:r>
      <w:r>
        <w:rPr>
          <w:rFonts w:ascii="Times New Roman;Times;Serif" w:hAnsi="Times New Roman;Times;Serif"/>
          <w:b w:val="false"/>
          <w:i w:val="false"/>
          <w:caps w:val="false"/>
          <w:smallCaps w:val="false"/>
          <w:sz w:val="20"/>
        </w:rPr>
        <w:t>”) the Company’s securities would be subject to delisting for non-compliance with Nasdaq Listing Rule 5550(a)(2) (the “Minimum Bid Price Rule”), which requires primary securities listed on The Nasdaq Capital Market to maintain a minimum bid price of at least $1.00 per share. Nasdaq Listing Rule 5810(c)(3)(A) provides that a failure to meet the minimum bid price requirement exists if a deficiency under the Listing Rule continues for a period of 30 consecutive business days. As notified by the Staff Determination, the Company has not regained compliance with the Minimum Bid Price Rule and is not eligible for a second 180 day grace period. The Company retained an advisor and requested a hearing before the Panel and a hearing was held on April 16, 2026. As of the date of this annual report, the Panel has not issued its written decision. The Panel may grant an exception to the listing standards for no longer than 180 days from the date of the Staff Delisting Determination letter (the “</w:t>
      </w:r>
      <w:r>
        <w:rPr>
          <w:rFonts w:ascii="Times New Roman;Times;Serif" w:hAnsi="Times New Roman;Times;Serif"/>
          <w:b/>
          <w:i w:val="false"/>
          <w:caps w:val="false"/>
          <w:smallCaps w:val="false"/>
          <w:sz w:val="20"/>
        </w:rPr>
        <w:t>Exception</w:t>
      </w:r>
      <w:r>
        <w:rPr>
          <w:rFonts w:ascii="Times New Roman;Times;Serif" w:hAnsi="Times New Roman;Times;Serif"/>
          <w:b w:val="false"/>
          <w:i w:val="false"/>
          <w:caps w:val="false"/>
          <w:smallCaps w:val="false"/>
          <w:sz w:val="20"/>
        </w:rPr>
        <w:t>”). The Panel’s decision could result in the suspension and delisting of the Company’s securities from Nasdaq. The Company may, within 15 calendar days of the date of the Panel’s written decision, appeal the decision to the Nasdaq Listing and Hearing Review Council. An appeal does not stay the suspension action. In addition, the Listing Council may, on its own motion, decide to review any Panel decision within 45 calendar days after the decision is issued. The Company may appeal the Listing Council’s decision to the SEC and ultimately to the courts. There can be no assurance that the Panel may grant the Exception and the Panel’s decision will not result in the suspension and delisting of the Company’s ordinary shares from the Nasdaq, or the Company will be able to stay in compliance with all of the Nasdaq listing criteria.</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delists our ordinary shares and we are unable to list our shares on another national securities exchange, we expect our shares could be quoted on an over-the-counter market in the United States. If this were to occur, we could face significant material adverse consequences, including: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are “penny stock,” which will require brokers trading in our shares to adhere to more stringent rules and possibly result in a reduced level of trading activity in the secondary trading market for our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ordinary shares are listed on the Nasdaq, U.S. federal law prevents or preempts the states from regulating their sale. However, the law does allow the states to investigate companies if there is a suspicion of fraud, and, if there is a finding of fraudulent activity, then the states can regulate or bar their sale. Further, if we were no longer listed on the Nasdaq, we would be subject to regulations in each state in which we offer our shares.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ordinary shares may be volatile, which could result in substantial losses to investors.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ordinary shares may be volatile and could fluctuate widely due to factors beyond our control. This may happen because of the broad market and industry factors, like the performance and fluctuation of the market prices of other companies with business operations located mainly in Singapore that have listed their securities in the United States. In addition to market and industry factors, the price and trading volume for our shares may be highly volatile for factors specific to our own operations, including the following:</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earnings and cash flow;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significant and sudden changes in the volume and price at which our shares will trade.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our ordinary shares could adversely affect the market price.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ordinary shares in the public market after the completion of the initial public offering or the perception that these sales could occur could adversely affect the market price of our shares and could materially impair our ability to raise capital through equity offerings in the future. As of the date of this annual report, we have 29,404,342 ordinary shares outstanding. In connection with our initial public offering, our directors and officers agreed not to sell any shares until 180 days after the date of the prospectus for our initial public offering without the prior written consent of the representative of the underwriters, subject to certain exceptions, unless the underwriters release these securities from these restrictions.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 selling may drive down the market price of our ordinary shares.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ordinary shares, the market price for our ordinary shares and trading volume could decline.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classified as a passive foreign investment company, United States taxpayers who own our securities may have adverse United States federal income tax consequences.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non-U.S. corporation and, as such, we will be classified as a passive foreign investment company, which is known as a PFIC, for any taxable year if, for such year, either</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75% of our gross income for the year is passive income;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percentage of our assets (determined at the end of each quarter) during the taxable year that produce passive income or that are held for the production of passive income is at least 50%.</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royalties (other than rents or royalties derived from the active conduct of a trade or business) and gains from the disposition of passive assets.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for our current taxable year or for any subsequent year, more than 50% of our assets may be assets which produce passive income. We will make this determination following the end of any particular tax year. For purposes of the PFIC analysis, in general, a non-U.S. corporation is deemed to own its pro rata share of the gross income and assets of any entity in which it is considered to own at least 25% of the equity by value.</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determined to be a PFIC, see “Item 10. Additional Information — E. Taxation — Passive Foreign Investment Company Considerations.”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that have applied to list our ordinary shares on the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are exempt from Nasdaq regulations that require a listed U.S. company to:</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non-management directors to meet on a regular basis without management present;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 annual general meeting of shareholders;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shareholder approval for the implementation of certain equity compensation plans and dilutive issuances of ordinary shares, such as transactions, other than a public offering, involving the sale of 20% or more of our ordinary shares for less than the greater of book or market value of the shares.</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follow home country practice in lieu of the above requirements. Our audit committee is required to comply with the provisions of Rule 10A-3 of the Exchange Act, which is applicable to U.S. companies listed on the Nasdaq. Therefore, we intend to have a fully independent audit committee upon effectiveness of the registration statement of which this annual report is a part, in accordance with Rule 10A-3 of the Exchange Act. However, because we are a foreign private issuer, our audit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us as a foreign private issuer.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face difficulties in protecting your interests, and your ability to protect your rights through U.S. courts may be limited, because we are incorporated under Cayman Islands law.</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with limited liability. Our corporate affairs are governed by our second amended memorandum and articles of association, the Companies Act and the common law of the Cayman Islands. We will also be subject to the U.S. securities laws. The rights of shareholders to take action against our directors and us, actions by minority shareholders and the fiduciary duties of our directors to us under Cayman Islands law are governed by our second amended memorandum and articles of association, the Companies Act and the common law of the Cayman Islands. The common law of the Cayman Islands is derived in part from comparatively limited judicial precedent in the Cayman Islands (as compared to the U.S. law) as well as from English common law. The decisions of the English courts are of highly persuasive authority, but are not binding on Cayman Islands courts (except for those decisions handed down from the Judicial Committee of the Privy Council to the extent that these have been appealed from the Cayman Islands courts). The rights of our shareholders and the fiduciary duties of our directors under Cayman Islands law are broadly similar to those in other common law jurisdictions, but there may be differences in the statutes or judicial precedent in some jurisdictions in the United States. In particular, the Cayman Islands has a different body of securities laws than the United States, and provide significantly less protection to investors. In addition, if shareholders want to proceed against us outside of the Cayman Islands, they will need to demonstrate that they have the standing to initiate a shareholder derivative action in a federal court of the United States. There is no guarantee that the courts of the Cayman Islands would automatically recognize or enforce against us judgments of courts of the United States predicated upon the civil liability provisions of the federal securities laws of the United States or any state. In addition, the courts of the Cayman Islands will not recognize and enforce a judgment predicated upon the civil liability provisions of the federal securities laws of the United States or any state, so far as the liabilities imposed by those provisions are taxes, fines or penal in nature, or otherwise contrary to public policy, including punitive damages.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or timely report our results of operations or prevent fraud, and investor confidence and the market price of our ordinary shares may be materially and adversely affected.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initial public offering, we have been a private company with limited accounting personnel. Furthermore, prior to the completion of the initial public offering, our management has not performed an assessment of the effectiveness of our internal control over financial reporting, and our independent registered public accounting firm has not conducted an audit of our internal control over financial reporting. Effective internal control over financial reporting is necessary for us to provide reliable financial reports and, together with adequate disclosure controls and procedures, is designed to prevent fraud.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ordinary shares.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initial public offering, we became a public company in the United States subject to the Sarbanes-Oxley Act of 2002. Section 404 of the Sarbanes-Oxley Act of 2002, or Section 404, will require that we include a report of management on our internal control over financial reporting in our annual report on Form 20-F.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burden on our management, operational and financial resources and systems for the foreseeable future. We may be unable to timely complete our evaluation testing and any required remediation.</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material weaknesses and deficiencies in our internal control over financial reporting.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fail to maintain the adequacy of our internal control over financial reporting, as these standards are modified, supplemented or amended from time to time, we may be unable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misuse of corporate assets and legal actions under the United States securities laws and subject us to potential delisting from Nasdaq, to regulatory investigations and to civil or criminal sanctions.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lack personnel adequately trained in and have appropriate knowledge of U.S. GAAP and SEC reporting requirements to properly address complex U.S. GAAP accounting issues and related disclosures to fulfill U.S. GAAP and SEC financial reporting requirements, which could result in (i) our failure to maintain effective internal control over financial reporting, (ii) errors in our financial statements; (iii) failure to meet our reporting obligations; and (iv) loss of confidence by the investors in our financial information. We have implemented and plan to implement a number of measures to address this issue.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U.S. states. Currently, we plan to rely on home country practice with respect to any corporate governance matter. Accordingly, our shareholders may be afforded less protection than they otherwise would under rules and regulations applicable to U.S. domestic issuers.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shareholders may have more difficulty in protecting their interests in the face of actions taken by our management, members of the Board or Controlling Shareholders than they would as shareholders of a company incorporated in a U.S. state.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substance legislation of the Cayman Islands may impact us or our operations.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Cayman Islands’ commitment to the Organization for Economic Co-operation and Development’s Base Erosion and Profit Shifting project, the Cayman Islands introduced economic substance legislation back in 2018. Effective January 1, 2019, the International Tax Co-operation (Economic Substance) Act (as amended), or the Substance Law and the issued Regulations and Guidance Notes came into force in the Cayman Islands introducing certain economic substance requirements for “relevant entities” which are engaged in certain “relevant activities”. A “relevant entity” includes an exempted company incorporated in the Cayman Islands; however, it does not include an entity that is a tax resident in a jurisdiction with corporate income tax system outside the Cayman Islands. Accordingly, for so long as we are a tax resident in a jurisdiction with corporate income tax system outside the Cayman Islands and we are subject to corporate income tax in that jurisdiction on all of the income generated from a relevant activity, we are not required to satisfy the economic substance test under the Substance Law. Although it is presently anticipated that the Substance Law will have little material impact on us or our operations, the legislation remains subject to further clarification.</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substantially all of our assets are located outside of the United States. In addition, all of our current directors and officers named in this annual report are nationals and residents of countries other than the United States and substantially all of the assets of these persons are located outside the United States. Service of court documents on a Cayman Islands company can be effected by serving the documents at the company’s registered office and it may be is possible to enforce foreign judgments in the Cayman Islands against a Cayman Islands company, subject to some exceptions. However, if investors wish to serve documents on and/or enforce foreign judgments against our directors and officers, they will need to ensure that they comply with the rules of the jurisdiction where the directors and officers are located.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As a result of all of the above, our shareholders may have more difficulties in protecting their interests through actions against us or our officers, directors or major shareholders than would shareholders of a corporation incorporated in a jurisdiction in the United States, depending on where our directors and officers are located.</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of 2002 for so long as we are an emerging growth company. As a result, if we elect not to comply with such auditor attestation requirements, our investors may not have access to certain information they may deem important.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of this election, our future financial statements may not be comparable to other public companies that comply with the public company effective dates for these new or revised accounting standards.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 among others,:</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share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financial results on a semi-annual basis through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will become subject to the short-swing profit disclosure and recovery provisions of Section 16 of the Exchange Act. In addition, we will lose our ability to rely upon exemptions from certain corporate governance requirements under the listing rules of the Nasdaq. As a U.S. listed public company that is not a foreign private issuer, we will incur significant additional legal, accounting and other expenses that we will not incur as a foreign private issuer.</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significantly increased costs and devote substantial management time as a result of the listing of our ordinary shares on the Nasdaq.</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additional legal, accounting and other expenses as a public reporting company, particularly after we cease to qualify as an emerging growth company. For example, we will be required to comply with the additional requirements of the rules and regulations of the SEC and the Nasdaq rules, including applicable corporate governance practices.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We cannot predict or estimate the number of additional costs we may incur as a result of becoming a public company or the timing of such costs.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Nasdaq may delist our shares from trading, in which case the liquidity and market price of our shares could decline.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our shares are listed on Nasdaq, we cannot assure you that we will be able to meet the continued listing standards of Nasdaq in the future. If we fail to comply with the applicable listing standards and Nasdaq delists our shares, we and our Shareholders could face significant material adverse consequences, including:</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“penny stock”, which would require brokers trading in our shares to adhere to more stringent rules and possibly result in a reduced level of trading activity in the secondary trading market for our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we expect that our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3" w:name="a_007"/>
      <w:bookmarkEnd w:id="43"/>
      <w:r>
        <w:rPr>
          <w:rFonts w:ascii="Times New Roman;Times;Serif" w:hAnsi="Times New Roman;Times;Serif"/>
          <w:b/>
          <w:i w:val="false"/>
          <w:caps w:val="false"/>
          <w:smallCaps w:val="false"/>
          <w:sz w:val="20"/>
        </w:rPr>
        <w:t xml:space="preserve">ITEM 4. INFORMATION ON THE COMPANY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History and Development of the Company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on March 17, 2023 under the Companies Act as an exempted company with limited liability. Our authorized share capital was US$500,000 divided into 500,000,000 ordinary shares, par value of US$0.001 each at the time of incorporation. On February 16, 2024, we allotted and issued 999,000 shares of a par value of US$0.001 each to the existing shareholders of our Company on that date pro rata to their then shareholding in our Company at par. After the completion of the forward split on February 16, 2024 on the basis of 40 ordinary shares for every one share of our Company, our authorized share capital was changed to US$500,000 divided into 20,000,000,000 ordinary shares with par value of US$0.000025 each (the “</w:t>
      </w:r>
      <w:r>
        <w:rPr>
          <w:rFonts w:ascii="Times New Roman;Times;Serif" w:hAnsi="Times New Roman;Times;Serif"/>
          <w:b/>
          <w:i w:val="false"/>
          <w:caps w:val="false"/>
          <w:smallCaps w:val="false"/>
          <w:sz w:val="20"/>
        </w:rPr>
        <w:t>Forward Split</w:t>
      </w:r>
      <w:r>
        <w:rPr>
          <w:rFonts w:ascii="Times New Roman;Times;Serif" w:hAnsi="Times New Roman;Times;Serif"/>
          <w:b w:val="false"/>
          <w:i w:val="false"/>
          <w:caps w:val="false"/>
          <w:smallCaps w:val="false"/>
          <w:sz w:val="20"/>
        </w:rPr>
        <w:t>”). Following the completion of the Forward Split and the surrender of 10,409,585 shares by Ten-League Corp, 597,971 shares by LJSC Holdings, 597,971 shares by Undersea Capital and 597,971 shares by Jules Verne (the “</w:t>
      </w:r>
      <w:r>
        <w:rPr>
          <w:rFonts w:ascii="Times New Roman;Times;Serif" w:hAnsi="Times New Roman;Times;Serif"/>
          <w:b/>
          <w:i w:val="false"/>
          <w:caps w:val="false"/>
          <w:smallCaps w:val="false"/>
          <w:sz w:val="20"/>
        </w:rPr>
        <w:t>Share Surrenders</w:t>
      </w:r>
      <w:r>
        <w:rPr>
          <w:rFonts w:ascii="Times New Roman;Times;Serif" w:hAnsi="Times New Roman;Times;Serif"/>
          <w:b w:val="false"/>
          <w:i w:val="false"/>
          <w:caps w:val="false"/>
          <w:smallCaps w:val="false"/>
          <w:sz w:val="20"/>
        </w:rPr>
        <w:t>”) and prior to our initial public offering, our total issued shares are held as to 23,710,415 shares by Ten-League Corp, 1,362,029 shares by Jules Verne, 1,362,029 shares by LJSC Holdings and 1,362,029 shares by Undersea Capital. Prior to a group reorganization involving the transfer of the entire issued share capital of Ten-League (E&amp;T) and Ten-League (PES) to Ten-League Venture Capital Limited, or Ten-League Venture, which is a company incorporated in the British Virgin Islands on June 9, 2023 with limited liability, our Group comprised Ten-League (E&amp;T) and Ten-League (PES) each of which was wholly-owned by Ten-League Corp. Upon completion of our reorganization whereby the entire share capital of Ten-League (E&amp;T) and Ten-League (PES) were transferred to us, our Group comprised Ten-League Venture, Ten-League (E&amp;T) and Ten-League (PES) as our direct and indirect wholly-owned subsidiaries, respectively.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our initial public offering, there were 29,404,342 issued and outstanding ordinary shares of the Company, par value US$0.000025 per share. On April 13, 2026, we held an extraordinary general meeting of shareholders and passed on an ordinary resolution to (i) approve one or more share consolidations of the Company’s issued and unissued ordinary shares, par value US$0.000025 per share, at a ratio of not less than two (2)-for-one (1) and not more than twenty (20)-for-one (1) or the maximum consolidation ratio then permitted under applicable Nasdaq rules and requirements aggregately (the “</w:t>
      </w:r>
      <w:r>
        <w:rPr>
          <w:rFonts w:ascii="Times New Roman;Times;Serif" w:hAnsi="Times New Roman;Times;Serif"/>
          <w:b/>
          <w:i w:val="false"/>
          <w:caps w:val="false"/>
          <w:smallCaps w:val="false"/>
          <w:sz w:val="20"/>
        </w:rPr>
        <w:t>Range</w:t>
      </w:r>
      <w:r>
        <w:rPr>
          <w:rFonts w:ascii="Times New Roman;Times;Serif" w:hAnsi="Times New Roman;Times;Serif"/>
          <w:b w:val="false"/>
          <w:i w:val="false"/>
          <w:caps w:val="false"/>
          <w:smallCaps w:val="false"/>
          <w:sz w:val="20"/>
        </w:rPr>
        <w:t>”), with the exact ratio to be set as a whole number within the Range and the exact date to be determined by the Board in its sole discretion within two years after the date of passing of these resolutions (each a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 Consolidations</w:t>
      </w:r>
      <w:r>
        <w:rPr>
          <w:rFonts w:ascii="Times New Roman;Times;Serif" w:hAnsi="Times New Roman;Times;Serif"/>
          <w:b w:val="false"/>
          <w:i w:val="false"/>
          <w:caps w:val="false"/>
          <w:smallCaps w:val="false"/>
          <w:sz w:val="20"/>
        </w:rPr>
        <w:t>”) provided that the aggregate ratio across all such Share Consolidations shall not exceed twenty (20)-for-one (1) or such lower cap as imposed by Nasdaq at the time of implementation and that no fractional share shall arise from the Share Consolidations; (ii) authorize the Company to round up any fractional shares resulting from the Share Consolidations to the nearest whole ordinary share; and (iii) authorize the Board to, at its sole and absolute discretion, implement one or more Share Consolidations, determine the exact consolidation ratio and the exact effective date of such Share Consolidation, instruct the registered office provider or transfer agent of the Company to complete the necessary corporate record(s) and filing(s) to reflect the Share Consolidation(s) and do all other such acts and things as the Board considers necessary or desirable for the purposes of the transactions contemplated by the Share Consolidation(s).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with limited liability on March 17, 2023. Our registered office in the Cayman Islands is at Walkers Corporate Limited, 190 Elgin Avenue, George Town, Grand Cayman KY1-9008, Cayman Islands.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 is at 7 Tuas Avenue 2, Singapore 639447. Our telephone number at this location is +65 6862 0769. Our principal website address is </w:t>
      </w:r>
      <w:r>
        <w:rPr>
          <w:rFonts w:ascii="Times New Roman;Times;Serif" w:hAnsi="Times New Roman;Times;Serif"/>
          <w:b w:val="false"/>
          <w:i w:val="false"/>
          <w:caps w:val="false"/>
          <w:smallCaps w:val="false"/>
          <w:sz w:val="20"/>
          <w:u w:val="single"/>
        </w:rPr>
        <w:t>https://www.ir.ten-league.com.sg</w:t>
      </w:r>
      <w:r>
        <w:rPr>
          <w:rFonts w:ascii="Times New Roman;Times;Serif" w:hAnsi="Times New Roman;Times;Serif"/>
          <w:b w:val="false"/>
          <w:i w:val="false"/>
          <w:caps w:val="false"/>
          <w:smallCaps w:val="false"/>
          <w:sz w:val="20"/>
        </w:rPr>
        <w:t>. The information contained on our website does not form part of this annual report.</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agent for service of process in the United States is Cogency Global Inc., 122 East 42nd Street, 18th Floor, New York, NY 10168.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should submit any inquiries to the address and telephone number of our principal executive offices. Our main website is </w:t>
      </w:r>
      <w:r>
        <w:rPr>
          <w:rFonts w:ascii="Times New Roman;Times;Serif" w:hAnsi="Times New Roman;Times;Serif"/>
          <w:b w:val="false"/>
          <w:i w:val="false"/>
          <w:caps w:val="false"/>
          <w:smallCaps w:val="false"/>
          <w:sz w:val="20"/>
          <w:u w:val="single"/>
        </w:rPr>
        <w:t>https://www.ir.ten-league.com.sg</w:t>
      </w:r>
      <w:r>
        <w:rPr>
          <w:rFonts w:ascii="Times New Roman;Times;Serif" w:hAnsi="Times New Roman;Times;Serif"/>
          <w:b w:val="false"/>
          <w:i w:val="false"/>
          <w:caps w:val="false"/>
          <w:smallCaps w:val="false"/>
          <w:sz w:val="20"/>
        </w:rPr>
        <w:t>. The information contained on our website is not a part of this annual report. The SEC maintains an Internet site at http://www.sec.gov that contains electronic reports, proxy and information statements, and other information regarding us and other issuers that file electronically with the SEC.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Business Overview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provide high-quality equipment, value-added engineering solutions as well as maintenance and repair through continuous adaptation and application of new technologies.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Singapore-based provider of turnkey project solutions. Our business primarily consists of sales of heavy equipment and parts, heavy equipment rental and provision of engineering consultancy services to port, construction, civil engineering and underground foundation industries. The equipment we provide is categorized into (i) foundation equipment; (ii) hoist equipment; (iii) excavation equipment; and (iv) port machinery. The Company also provides value-added engineering solutions under engineering consultancy services with the aim to address potential safety issues, enhance reliability and productivity and allow for customers to evaluate the performance of the equipment, the quality of the work completed and the progress of their projects. Ten-League’s mission is to provide high-quality equipment, value-added engineering solutions as well as maintenance and repair through continuous adaptation and application of new technologies.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supplying fully electric reach stacker and empty container handler to port operators in Singapore since 2021 and have been contracted to supply electric prime movers with swappable battery pack and build charging infrastructure since October 2022 by a leading port operator based in Singapore, or the Leading Port Operator. Meanwhile, we are actively exploring the market for fully electric wheel loader, excavator and forklift, and offering them as a part of our fleet of electrified equipment.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competitive strengths have contributed to our past success and will continue to distinguish us from our competitors:</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Well-established market position.</w:t>
            </w:r>
            <w:r>
              <w:rPr>
                <w:rFonts w:ascii="Times New Roman;Times;Serif" w:hAnsi="Times New Roman;Times;Serif"/>
                <w:b w:val="false"/>
                <w:i w:val="false"/>
                <w:caps w:val="false"/>
                <w:smallCaps w:val="false"/>
                <w:sz w:val="20"/>
              </w:rPr>
              <w:t xml:space="preserve"> We believe that we have established a reputation as one of the leading Singapore-based providers of turnkey project solutions including sale of heavy equipment and parts, heavy equipment rental and engineering consultancy services in the port, construction, civil engineering and underground foundation industries with strong core competencies in drilling technologies, construction data acquisitions and the provision of fully electric equipment and charging solutions. We believe we have been able to achieve such a reputation and form close business relationships with our customers, many of whom are established construction engineering companies in Singapore, due to our ability to meet their stringent product standards in various aspects</w:t>
            </w:r>
            <w:r>
              <w:rPr>
                <w:rFonts w:ascii="Times New Roman;Times;Serif" w:hAnsi="Times New Roman;Times;Serif"/>
                <w:b w:val="false"/>
                <w:i/>
                <w:caps w:val="false"/>
                <w:smallCaps w:val="false"/>
                <w:sz w:val="20"/>
              </w:rPr>
              <w:t>.</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are able to provide “one-stop solution”. </w:t>
            </w:r>
            <w:r>
              <w:rPr>
                <w:rFonts w:ascii="Times New Roman;Times;Serif" w:hAnsi="Times New Roman;Times;Serif"/>
                <w:b w:val="false"/>
                <w:i w:val="false"/>
                <w:caps w:val="false"/>
                <w:smallCaps w:val="false"/>
                <w:sz w:val="20"/>
              </w:rPr>
              <w:t>We carry a wide range of heavy equipment of varying functions and performance specifications for the port, construction, civil engineering and underground foundation industries, which include port machinery such as reach stacker and empty container handler; hoist equipment which includes telescopic crawler cranes, rough terrain cranes and lattice boom crawler cranes; foundation equipment such as drilling rigs; and various models of excavators. We offer both sale and rental arrangement for our fleet of equipment on flexible terms so that our customers can choose the mode of operation that best suits their need and budget. In addition, the experience and technical capabilities of our in-house engineering team as well as those of our technology partners keep us ahead of the latest technological developments and provide us with a competitive edge in the provision of various value-added engineering solutions under our engineering consultancy services. Our value-added engineering solutions incorporate innovative technologies and we deploy them in connection with the heavy equipment that we offer. Our partnership with the Technology Partner has also resulted in the development of certain software and technologies to enhance our heavy equipment. We are also able to provide maintenance and repair services in a responsive and efficient manner to our customers for any of the equipment sold or rented by us, which is highly valued by our customers due to the strict timelines in construction projects.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have a strong long-term relationship with SANY and a wide customer base across the construction and infrastructure, civil engineering and foundation industries in Singapore. </w:t>
            </w:r>
            <w:r>
              <w:rPr>
                <w:rFonts w:ascii="Times New Roman;Times;Serif" w:hAnsi="Times New Roman;Times;Serif"/>
                <w:b w:val="false"/>
                <w:i w:val="false"/>
                <w:caps w:val="false"/>
                <w:smallCaps w:val="false"/>
                <w:sz w:val="20"/>
              </w:rPr>
              <w:t>We have maintained a close and long-term cooperative business relationship with SANY for over 15 years. We source most of our heavy equipment directly from SANY. SANY is one of the largest equipment manufacturers in the world by revenue. It is also the first in its industry in China to be ranked among the FT Global 500 and the Forbes Global 2000. In addition, we were recognized by SANY in 2021 as a strategic partner in Singapore and pursuant to such partner status, SANY and we agreed to collaborate on the sales, business development, market strategy, after-sales services and product research and development of certain of its products. The strong technological and manufacturing process of SANY and our close business relationship and long-term cooperation with it help to ensure that we are able to secure a steady supply of advanced heavy equipment at competitive prices. Our sales and equipment rental customers regularly return to us for repeat business and from time to time, they also refer other prospective customers to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Strong management team with in-depth knowledge and expertise. </w:t>
            </w:r>
            <w:r>
              <w:rPr>
                <w:rFonts w:ascii="Times New Roman;Times;Serif" w:hAnsi="Times New Roman;Times;Serif"/>
                <w:b w:val="false"/>
                <w:i w:val="false"/>
                <w:caps w:val="false"/>
                <w:smallCaps w:val="false"/>
                <w:sz w:val="20"/>
              </w:rPr>
              <w:t>Our management team has a wealth of management skills, operational experience and industry knowledge and expertise necessary to develop and execute our strategy to capture market opportunities. In particular, our Chairman, Mr. Lim has approximately 25 years of experience in the sale and rental of heavy equipment. Benefited from his long career, Mr. Lim has built an extensive business networks and connections in the industry, which we believe have helped us establish a strong working relationship with key customers and suppliers. Mr. Lim is responsible for formulating marketing and growth strategies and determining our geographical expansion as well as overseeing our investment and business ventures.</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our business objectives, we plan to adopt the following strategies to drive our future growth.</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More environmentally friendly heavy equipment. </w:t>
            </w:r>
            <w:r>
              <w:rPr>
                <w:rFonts w:ascii="Times New Roman;Times;Serif" w:hAnsi="Times New Roman;Times;Serif"/>
                <w:b w:val="false"/>
                <w:i w:val="false"/>
                <w:caps w:val="false"/>
                <w:smallCaps w:val="false"/>
                <w:sz w:val="20"/>
              </w:rPr>
              <w:t>With the view of transitioning to a low carbon society and achieving the goal of net zero emissions by 2050, the Singapore government has been intensifying its efforts to develop a more sustainable land transport sector and has introduced measures to encourage the shift from vehicles powered by internal combustion engines to the ones powered by battery and other environmentally friendly sources. The demand for EV has been increasing in most market segments and hence offers significant growth opportunities for providers of electric fleet. With the policy shift in mind, coupled with the significant anticipated cost savings for the adoption of the electrical technological solutions by local businesses concerned with the rising material and fuel costs in the construction and port industries, and in line with our vision to be a sustainable and forward-looking business, we have invested and will continue to invest in the electrification of our heavy equipment fleet. We have been supplying fully electric reach stacker and empty container handler to port operators in Singapore since 2021. We plan to draw from our existing successful electrification experience to continue to introduce our fleet of electrified equipment to ports located in both Singapore and overseas countries as well as to other companies in the construction and logistic industries who are looking to electrify their transpiration vehicles. In addition, we aim to develop new businesses around our fully electric fleet, and provide intelligent fleet operator and automation solutions to our customers.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Expansion of our engineering, procurement, construction and commissioning, or EPCC, service for deploying charging solutions in Singapore. </w:t>
            </w:r>
            <w:r>
              <w:rPr>
                <w:rFonts w:ascii="Times New Roman;Times;Serif" w:hAnsi="Times New Roman;Times;Serif"/>
                <w:b w:val="false"/>
                <w:i w:val="false"/>
                <w:caps w:val="false"/>
                <w:smallCaps w:val="false"/>
                <w:sz w:val="20"/>
              </w:rPr>
              <w:t xml:space="preserve">To complement its push for greater adaptation of EV, the Singapore government has been actively promoting the development of EV charging infrastructures. In the Singapore Budget 2021, the Singapore government announced that it intends to work on the deployment of 60,000 charging points at public car parks and private premises by 2030. Coupled with supportive government policies, as well as understanding that the availability of charging infrastructure is instrumental to the demand and market appeal of our electric fleet, we intend to expand our EPCC service for deploying charging solutions in Singapore. In October 2022, we won a tendered project from the Leading Port Operator for designing, supplying, installing, testing and commissioning an innovative battery swap station and its related infrastructure including high voltage and low voltage switchboard and transformer, for a large terminal in Singapore, with the option to tender additional units of battery swap station. This tendered project is the first such station deployed in Singapore, we are working closely with local authorities to address their inquiries with respect to issues such as safety and design.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Expansion and diversification through investments, mergers and acquisitions, joint ventures and/or strategic collaborations. </w:t>
            </w:r>
            <w:r>
              <w:rPr>
                <w:rFonts w:ascii="Times New Roman;Times;Serif" w:hAnsi="Times New Roman;Times;Serif"/>
                <w:b w:val="false"/>
                <w:i w:val="false"/>
                <w:caps w:val="false"/>
                <w:smallCaps w:val="false"/>
                <w:sz w:val="20"/>
              </w:rPr>
              <w:t>We intend to grow and build our business through acquisitions, joint ventures and strategic alliances as part of our long-term growth strategy, and may also consider strategic partnerships or alliances with parties which are synergistic with our existing businesses. We expect that this will enable us to strengthen our market position, enhance our services offerings and/or expand into new geographic areas that are complementary to our existing business. Should such opportunities arise, we will seek approvals as may be required under the prevailing laws and regulations. As of the date of this report, we have not entered into any agreements for the acquisition of any specific merger and acquisition targets.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Deepen collaboration with our strategic partners and further expansion and diversification. </w:t>
            </w:r>
            <w:r>
              <w:rPr>
                <w:rFonts w:ascii="Times New Roman;Times;Serif" w:hAnsi="Times New Roman;Times;Serif"/>
                <w:b w:val="false"/>
                <w:i w:val="false"/>
                <w:caps w:val="false"/>
                <w:smallCaps w:val="false"/>
                <w:sz w:val="20"/>
              </w:rPr>
              <w:t>We intend to employ more staff and provide them with training opportunities with our partners, in particular SANY and the Technology Partner. This will help to improve the capabilities of our staff as well as keep them updated with the new technologies and processes in our industry. One of the promising areas for our value-added engineering solutions and options is the digitization of our equipment to monitor its utilization rate and condition using Internet of Things (IoT) technology, which will not only help us to improve our efficiency and equipment fleet management, but also allow us to obtain useful information for condition-based maintenance and spare parts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Attract, cultivate and retain a talented and professional workforce. </w:t>
            </w:r>
            <w:r>
              <w:rPr>
                <w:rFonts w:ascii="Times New Roman;Times;Serif" w:hAnsi="Times New Roman;Times;Serif"/>
                <w:b w:val="false"/>
                <w:i w:val="false"/>
                <w:caps w:val="false"/>
                <w:smallCaps w:val="false"/>
                <w:sz w:val="20"/>
              </w:rPr>
              <w:t>We believe that a significant part of our success is attributable to our ability to select, develop, motivate and retain our talented and professional workforce. We will continue to strengthen our team and proactively recruit, retain and train talents such as sales and marketing personnel and mechanics. We will also continue to focus on cultivating the industrial knowledge of our workforce with training and professional development programs, collegial working environment, competitive compensation structure as well as internal promotion opportunities to enhance their creativity, loyalty, job satisfaction and cohesiveness.</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Services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Singapore-based provider of turnkey project solutions including sale of heavy equipment and parts, heavy equipment rental and engineering consultancy services to port, construction, civil engineering and underground foundation industries. Our core business activities consist of the following segments: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 Sales Business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Equipment Sales Business involves new sale and resale of heavy equipment to our customers. Our customers deploy our heavy equipment for a wide range of uses in the construction and infrastructure, civil engineering and foundation industries. For example, our cranes are used in the launching of heavy precast columns, slabs and beams and in construction of buildings and upgrading works. We would normally purchase heavy equipment if there were an existing purchase commitment from our customers. However, to ensure the timely delivery of certain popular models, we maintain an inventory of heavy equipment which, in our view and based on the past sales records, are in high demand from our customers. Our suppliers, in particular, SANY, work closely with us and update us with timely information on equipment pricing and availability in the market where we operate. Our existing and prospective customers normally would approach us with inquiries whenever they need to source equipment for their projects.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 Rental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Equipment Rental Business comprises the rental of various heavy equipment. The rental contracts that we enter with our customers are of varied durations from daily to monthly leases or such other periods as required by our customers. We have a comprehensive rental fleet to support our customers who need equipment that complies with the relevant regulations such as those stipulated by the Building and Construction Authority of Singapore, or BCA, MOM, HDB and LTA. We will give priority to rent out equipment in our existing fleet. Our existing and prospective customers normally would approach us with inquiries whenever they need to rent heavy equipment for their projects. In addition, our equipment rental team actively interacts with potential customers and offers our rental services to them in response to their project needs. Based on our customer requirements, our equipment rental team submits the relevant rental quotations which include material terms such as scope of work, terms of payment, delivery and insurance arrangement during operation.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Consultancy Services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consultancy services complements our Equipment Sales Business and Equipment Rental Business and involves understanding our customers’ requirements, proposing value-added engineering solutions, and designing and developing prototypes of such solutions. Our customers may elect for our value-added engineering solutions to customize and enhance the performance or features of the equipment they purchase or rent from us to better suit their project needs. We work closely with our partners including SANY and the Technology Partner, to provide value-added engineering solutions primarily include equipment retrofitting, upgrading, modernization, fleet management and other enhancements on equipment through the replacement/application of, among others, mechanical parts, sensor fusion, software and remote control system, with the aim to address potential safety issues, increase reliability and productivity and allow for our customers to evaluate the performance of the equipment, the quality of the work completed and the progress of a site project. We have a dedicated team of engineers and a full-equipped workshop to execute the value-added engineering solutions approved by our customers. We also offer battery swap station to complement our fully electric commercial vehicles that we supplied to our customers for port usage.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Major Customers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mainly in the construction and infrastructure, civil engineering and foundation industries in Singapore. In particular, a significant concentration of our customers is those who are heavily involved in infrastructure and government projects. Generally, demands from our sales and equipment rental customers are driven by their respective demand for equipment. These demands in turn were usually caused by the new projects with which they have been awarded. Such events typically do not occur on a consistent basis. We have not entered into any long-term contracts with our customers.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sales to our five largest customers collectively accounted for approximately 38.2%, 41.3%, and 45.9%, and, respectively, of our total net revenue, and sales to our largest customer accounted for approximately 9.5%, 18.4% and 15.2% , respectively, of our total net revenue.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Suppliers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purchased substantially all of our heavy equipment from SANY for the years ended December 31, 2023, 2024, and 2025, including those that are fully electric. Our purchases from SANY represented 71.1%, 67.2% and 64.5%, respectively, of our cost of revenue for the years ended December 31, 2023, 2024 and 2025. In addition, we purchase from other suppliers for items used for our value-added engineering solutions including charging infrastructures such as switchboards, transformers and transmission cables. According to Frost and Sullivan, in the heavy equipment industry in Singapore, reliance on a single supplier is not uncommon due to the reasons of relationship and trust, and specialization, making certain suppliers specialized in a specific type of heavy equipment or machinery as the preferred choice for companies with specific needs.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heavy equipment industry is generally comprised of either pure rental equipment companies or manufacturer dealer/distributorship companies, or a hybrid of the above. We are a provider of turnkey project solutions that primarily sell and rent heavy equipment and provide related parts and engineering consultancy services. The equipment industry in Singapore remains highly fragmented and consists mainly of a small number of multi-national operators and a large number of relatively small, independent businesses serving purely Singapore market.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participants in the heavy equipment industry generally compete on the basis of availability, quality, reliability, delivery and price. In general, large operators enjoy substantial competitive advantages over small, independent operators due to a distinct price advantage. Some of our competitors have greater financial, marketing and other resources than we do.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Traditionally, equipment manufacturers distributed their equipment and parts through a network of independent dealers with distribution agreements. In recent years, both manufacturers and distributors sought to streamline their operations, improve their costs and gain market share. Our established, integrated management infrastructure offering one-stop solution enables us to compete directly with our competitors effectively and efficiently. In addition, we believe customers in Singapore gravitate toward us due to the multitude of innovative value-added engineering solutions that we offer under our engineering consultancy services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 and Fixed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do not own any properties.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have leased the following properties, all of which are located in Singapore.</w:t>
      </w:r>
    </w:p>
    <w:p>
      <w:pPr>
        <w:pStyle w:val="TextBody"/>
        <w:pBdr/>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20"/>
        <w:gridCol w:w="60"/>
        <w:gridCol w:w="1385"/>
        <w:gridCol w:w="60"/>
        <w:gridCol w:w="1400"/>
        <w:gridCol w:w="60"/>
        <w:gridCol w:w="1385"/>
        <w:gridCol w:w="60"/>
        <w:gridCol w:w="2075"/>
        <w:gridCol w:w="60"/>
        <w:gridCol w:w="1820"/>
        <w:gridCol w:w="75"/>
      </w:tblGrid>
      <w:tr>
        <w:trPr/>
        <w:tc>
          <w:tcPr>
            <w:tcW w:w="3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Area (sq ft)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Expiration Date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Tuas Avenue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81,677 sq ft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Workhouse &amp; Workshop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26, 2042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fixed assets include the heavy equipment and accessories for our Rental Equipment Business.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our business and profitability are not materially dependent on any intellectual property such as patents, patent rights, licenses and processes or other intellectual property rights.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have not registered any trademarks. However, pursuant to a license agreement entered into between us and Ten-League Corp, we have been granted a license to use the following “Ten-League” trademark at a nominal fee commencing from the date of the listing of our ordinary shares on the Nasdaq.</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own the domain name for our website is </w:t>
      </w:r>
      <w:r>
        <w:rPr>
          <w:rFonts w:ascii="Times New Roman;Times;Serif" w:hAnsi="Times New Roman;Times;Serif"/>
          <w:b w:val="false"/>
          <w:i w:val="false"/>
          <w:caps w:val="false"/>
          <w:smallCaps w:val="false"/>
          <w:sz w:val="20"/>
          <w:u w:val="single"/>
        </w:rPr>
        <w:t>https://www.ten-league.com.sg</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70 full-time employees as of the date of this report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following table sets forth the numbers of our full-time employees, categorized by function, as of the same date:</w:t>
      </w:r>
    </w:p>
    <w:p>
      <w:pPr>
        <w:pStyle w:val="TextBody"/>
        <w:pBdr/>
        <w:bidi w:val="0"/>
        <w:spacing w:before="0" w:after="0"/>
        <w:ind w:left="0" w:right="0" w:firstLine="720"/>
        <w:jc w:val="left"/>
        <w:rPr>
          <w:caps w:val="false"/>
          <w:smallCaps w:val="false"/>
        </w:rPr>
      </w:pPr>
      <w:r>
        <w:rPr>
          <w:caps w:val="false"/>
          <w:smallCaps w:val="false"/>
        </w:rPr>
        <w:t> </w:t>
      </w:r>
    </w:p>
    <w:tbl>
      <w:tblPr>
        <w:tblW w:w="7023" w:type="dxa"/>
        <w:jc w:val="left"/>
        <w:tblInd w:w="0" w:type="dxa"/>
        <w:tblLayout w:type="fixed"/>
        <w:tblCellMar>
          <w:top w:w="0" w:type="dxa"/>
          <w:left w:w="0" w:type="dxa"/>
          <w:bottom w:w="28" w:type="dxa"/>
          <w:right w:w="0" w:type="dxa"/>
        </w:tblCellMar>
      </w:tblPr>
      <w:tblGrid>
        <w:gridCol w:w="2285"/>
        <w:gridCol w:w="60"/>
        <w:gridCol w:w="428"/>
        <w:gridCol w:w="1856"/>
        <w:gridCol w:w="60"/>
        <w:gridCol w:w="60"/>
        <w:gridCol w:w="192"/>
        <w:gridCol w:w="1807"/>
        <w:gridCol w:w="275"/>
      </w:tblGrid>
      <w:tr>
        <w:trPr/>
        <w:tc>
          <w:tcPr>
            <w:tcW w:w="2285" w:type="dxa"/>
            <w:tcBorders>
              <w:bottom w:val="single" w:sz="8"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2284" w:type="dxa"/>
            <w:gridSpan w:val="2"/>
            <w:tcBorders>
              <w:bottom w:val="single" w:sz="8" w:space="0" w:color="000000"/>
            </w:tcBorders>
            <w:vAlign w:val="center"/>
          </w:tcPr>
          <w:p>
            <w:pPr>
              <w:pStyle w:val="TableContents"/>
              <w:bidi w:val="0"/>
              <w:spacing w:before="0" w:after="283"/>
              <w:jc w:val="center"/>
              <w:rPr>
                <w:b/>
              </w:rPr>
            </w:pPr>
            <w:r>
              <w:rPr>
                <w:b/>
              </w:rPr>
              <w:t>Number of Employees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8" w:space="0" w:color="000000"/>
            </w:tcBorders>
            <w:vAlign w:val="center"/>
          </w:tcPr>
          <w:p>
            <w:pPr>
              <w:pStyle w:val="TableContents"/>
              <w:bidi w:val="0"/>
              <w:spacing w:before="0" w:after="283"/>
              <w:jc w:val="center"/>
              <w:rPr>
                <w:b/>
              </w:rPr>
            </w:pPr>
            <w:r>
              <w:rPr>
                <w:b/>
              </w:rPr>
              <w:t>Percentage of Total</w:t>
            </w:r>
          </w:p>
        </w:tc>
        <w:tc>
          <w:tcPr>
            <w:tcW w:w="275" w:type="dxa"/>
            <w:tcBorders/>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Management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807" w:type="dxa"/>
            <w:tcBorders/>
            <w:shd w:fill="CCEEFF" w:val="clear"/>
            <w:tcMar>
              <w:bottom w:w="0" w:type="dxa"/>
            </w:tcMar>
            <w:vAlign w:val="center"/>
          </w:tcPr>
          <w:p>
            <w:pPr>
              <w:pStyle w:val="TableContents"/>
              <w:bidi w:val="0"/>
              <w:spacing w:before="0" w:after="283"/>
              <w:jc w:val="right"/>
              <w:rPr/>
            </w:pPr>
            <w:r>
              <w:rPr/>
              <w:t>8.57</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807" w:type="dxa"/>
            <w:tcBorders/>
            <w:shd w:fill="FFFFFF" w:val="clear"/>
            <w:tcMar>
              <w:bottom w:w="0" w:type="dxa"/>
            </w:tcMar>
            <w:vAlign w:val="center"/>
          </w:tcPr>
          <w:p>
            <w:pPr>
              <w:pStyle w:val="TableContents"/>
              <w:bidi w:val="0"/>
              <w:spacing w:before="0" w:after="283"/>
              <w:jc w:val="right"/>
              <w:rPr/>
            </w:pPr>
            <w:r>
              <w:rPr/>
              <w:t>10.00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807" w:type="dxa"/>
            <w:tcBorders/>
            <w:shd w:fill="CCEEFF" w:val="clear"/>
            <w:tcMar>
              <w:bottom w:w="0" w:type="dxa"/>
            </w:tcMar>
            <w:vAlign w:val="center"/>
          </w:tcPr>
          <w:p>
            <w:pPr>
              <w:pStyle w:val="TableContents"/>
              <w:bidi w:val="0"/>
              <w:spacing w:before="0" w:after="283"/>
              <w:jc w:val="right"/>
              <w:rPr/>
            </w:pPr>
            <w:r>
              <w:rPr/>
              <w:t>5.72</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pPr>
            <w:r>
              <w:rPr/>
              <w:t>Finance and accounting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807" w:type="dxa"/>
            <w:tcBorders/>
            <w:shd w:fill="FFFFFF" w:val="clear"/>
            <w:tcMar>
              <w:bottom w:w="0" w:type="dxa"/>
            </w:tcMar>
            <w:vAlign w:val="center"/>
          </w:tcPr>
          <w:p>
            <w:pPr>
              <w:pStyle w:val="TableContents"/>
              <w:bidi w:val="0"/>
              <w:spacing w:before="0" w:after="283"/>
              <w:jc w:val="right"/>
              <w:rPr/>
            </w:pPr>
            <w:r>
              <w:rPr/>
              <w:t>8.57</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Engineering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807" w:type="dxa"/>
            <w:tcBorders/>
            <w:shd w:fill="CCEEFF" w:val="clear"/>
            <w:tcMar>
              <w:bottom w:w="0" w:type="dxa"/>
            </w:tcMar>
            <w:vAlign w:val="center"/>
          </w:tcPr>
          <w:p>
            <w:pPr>
              <w:pStyle w:val="TableContents"/>
              <w:bidi w:val="0"/>
              <w:spacing w:before="0" w:after="283"/>
              <w:jc w:val="right"/>
              <w:rPr/>
            </w:pPr>
            <w:r>
              <w:rPr/>
              <w:t>17.14</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pPr>
            <w:r>
              <w:rPr/>
              <w:t>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807" w:type="dxa"/>
            <w:tcBorders/>
            <w:shd w:fill="FFFFFF" w:val="clear"/>
            <w:tcMar>
              <w:bottom w:w="0" w:type="dxa"/>
            </w:tcMar>
            <w:vAlign w:val="center"/>
          </w:tcPr>
          <w:p>
            <w:pPr>
              <w:pStyle w:val="TableContents"/>
              <w:bidi w:val="0"/>
              <w:spacing w:before="0" w:after="283"/>
              <w:jc w:val="right"/>
              <w:rPr/>
            </w:pPr>
            <w:r>
              <w:rPr/>
              <w:t>47.14</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Human resources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807" w:type="dxa"/>
            <w:tcBorders/>
            <w:shd w:fill="CCEEFF" w:val="clear"/>
            <w:tcMar>
              <w:bottom w:w="0" w:type="dxa"/>
            </w:tcMar>
            <w:vAlign w:val="center"/>
          </w:tcPr>
          <w:p>
            <w:pPr>
              <w:pStyle w:val="TableContents"/>
              <w:bidi w:val="0"/>
              <w:spacing w:before="0" w:after="283"/>
              <w:jc w:val="right"/>
              <w:rPr/>
            </w:pPr>
            <w:r>
              <w:rPr/>
              <w:t>2.86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b/>
              </w:rPr>
            </w:pPr>
            <w:r>
              <w:rPr>
                <w:b/>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807" w:type="dxa"/>
            <w:tcBorders/>
            <w:shd w:fill="FFFFFF" w:val="clear"/>
            <w:tcMar>
              <w:bottom w:w="0" w:type="dxa"/>
            </w:tcMar>
            <w:vAlign w:val="center"/>
          </w:tcPr>
          <w:p>
            <w:pPr>
              <w:pStyle w:val="TableContents"/>
              <w:bidi w:val="0"/>
              <w:spacing w:before="0" w:after="283"/>
              <w:jc w:val="right"/>
              <w:rPr>
                <w:b/>
              </w:rPr>
            </w:pPr>
            <w:r>
              <w:rPr>
                <w:b/>
              </w:rPr>
              <w:t>100.0</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employees are located in Singapore. Employees are not covered by collective bargaining agreements. We consider our labor practices and employee relations to be good. As of the date of this annual report, we have not experienced any material labor disputes.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Permits, Registrations and Approvals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business activities are located in Singapore and are subject to regulation by applicable laws, regulations and government agencies in Singapore. These regulations require us to possess various approvals and certifications in respect of certain of the heavy equipment we supply.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and to the best of our directors’ knowledge and belief, there is at present no material licenses and permits required for our business operations that have not been obtained.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Social Responsibility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our responsibilities to our employees, shareholders, business partners and the community as a whole, and are committed to achieving long term mutually sustainable relationships with our stakeholders.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constantly searching for means to contribute to the community and we intend to set aside funds to be used for our corporate social responsibility activities every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we do not have any fixed material research and development policies, we believe that research and development is crucial in providing us with a competitive edge and in increasing our operational efficiency. We believe that through research and development, we will be able to provide our customers with constantly improving and innovative engineering and industrial solutions to cater to the demands of an ever-changing industrial landscape.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complement our research and development capabilities, we have also forged close working relationship with our technical partners, such as the Technology Partner and SANY to develop certain software and technologies to augment our heavy equipment and facilitate fleet management and data analysis. Our collaboration partners also share with us market developments and trends which enable us to keep up with the changing needs of our customers and strengthen our competitive edge. For instance, we have, together with the Technology Partner, developed an in-house data logger for our drilling rigs in Singapore based on the requirements stipulated by HDB. With effect from 2021, all drilling rigs deployed in HDB projects are required to be able to send over the data required by HDB directly to HDB’s private network. In response to this, we have developed an in-house data logger to retrieve the information directly from our equipment without the need to install new sensors.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modified, with the support from SANY, reach stackers used in port so that they are able to automatically recognize container numbers, determine the location and height of the containers they place and/or remove through a combination of GPS positioning and LiDAR matching, and log the data to a centralized information system, which improve operational efficiency and accuracy.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such as those relating to breach of contract and labor and employment claims.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and we are not aware of any threat of, any legal or administrative proceedings that, in the opinion of our management, are likely to have any material and adverse effect on our business, financial condition, cash-flow or results of operations. We may periodically be subject to legal proceedings, investigations and claims relating to our business. We may also initiate legal proceedings to protect our rights and interests.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Work Safety, Social and Environmental Matters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equipment are subject to regulatory inspections, approvals, certifications and international safety standards and codes. This provides for a further level of independent quality and safety assessment in relation to this equipment. Please refer to the section headed “Regulatory Environment” in this annual report for details.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requirements imposed by the MOM in respect of the years of service of crawler, truck or wheel-mounted mobile cranes, are as set out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28" w:type="dxa"/>
          <w:right w:w="0" w:type="dxa"/>
        </w:tblCellMar>
      </w:tblPr>
      <w:tblGrid>
        <w:gridCol w:w="4025"/>
        <w:gridCol w:w="60"/>
        <w:gridCol w:w="5150"/>
      </w:tblGrid>
      <w:tr>
        <w:trPr/>
        <w:tc>
          <w:tcPr>
            <w:tcW w:w="4025" w:type="dxa"/>
            <w:tcBorders>
              <w:bottom w:val="single" w:sz="8" w:space="0" w:color="000000"/>
            </w:tcBorders>
            <w:vAlign w:val="center"/>
          </w:tcPr>
          <w:p>
            <w:pPr>
              <w:pStyle w:val="TableContents"/>
              <w:bidi w:val="0"/>
              <w:jc w:val="left"/>
              <w:rPr>
                <w:rFonts w:ascii="Times New Roman;Times;Serif" w:hAnsi="Times New Roman;Times;Serif"/>
                <w:b/>
              </w:rPr>
            </w:pPr>
            <w:r>
              <w:rPr>
                <w:rFonts w:ascii="Times New Roman;Times;Serif" w:hAnsi="Times New Roman;Times;Serif"/>
                <w:b/>
              </w:rPr>
              <w:t>Design Safe Working Load</w:t>
            </w:r>
          </w:p>
          <w:p>
            <w:pPr>
              <w:pStyle w:val="TableContents"/>
              <w:bidi w:val="0"/>
              <w:spacing w:before="0" w:after="283"/>
              <w:jc w:val="left"/>
              <w:rPr>
                <w:rFonts w:ascii="Times New Roman;Times;Serif" w:hAnsi="Times New Roman;Times;Serif"/>
                <w:b/>
              </w:rPr>
            </w:pPr>
            <w:r>
              <w:rPr>
                <w:rFonts w:ascii="Times New Roman;Times;Serif" w:hAnsi="Times New Roman;Times;Serif"/>
                <w:b/>
              </w:rPr>
              <w:t>(Maximum Capacity)</w:t>
            </w:r>
          </w:p>
        </w:tc>
        <w:tc>
          <w:tcPr>
            <w:tcW w:w="60" w:type="dxa"/>
            <w:tcBorders/>
            <w:tcMar>
              <w:bottom w:w="0" w:type="dxa"/>
            </w:tcMar>
            <w:vAlign w:val="center"/>
          </w:tcPr>
          <w:p>
            <w:pPr>
              <w:pStyle w:val="TableContents"/>
              <w:bidi w:val="0"/>
              <w:spacing w:before="0" w:after="283"/>
              <w:jc w:val="left"/>
              <w:rPr/>
            </w:pPr>
            <w:r>
              <w:rPr/>
              <w:t> </w:t>
            </w:r>
          </w:p>
        </w:tc>
        <w:tc>
          <w:tcPr>
            <w:tcW w:w="5150"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Maximum allowable years of service from the year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of manufacture</w:t>
            </w:r>
          </w:p>
        </w:tc>
      </w:tr>
      <w:tr>
        <w:trPr/>
        <w:tc>
          <w:tcPr>
            <w:tcW w:w="40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 tons and below</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40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Above 50 tons but not more than 100 tons</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r>
      <w:tr>
        <w:trPr/>
        <w:tc>
          <w:tcPr>
            <w:tcW w:w="40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 tons and above</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limitation, the maximum allowable years of service from its year of manufacture of our cranes may be extended subject to the written approval of the Commissioner for the WSHC.</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types of hoists or lifting equipment are required to be registered with the MOM. The owner must engage an Authorized Examiner to conduct necessary tests and examinations, issue examination report and register the hoist or lifting equipment. Certain specified mobile cranes registered with the MOM are also required to be equipped with data loggers which are compliant with the requirements stipulated by the MOM.</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in providing a safe working environment. We have established a set of environmental, health and safety policies, which contain adequate and reasonable measures to ensure the safety of all our employees, contractors and visitors. We aim to:</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health and safety programs and procedures to ensure compliance with all applicable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adequate safety instructions, information and training to all employees, including distributing a safety handbook to our employees;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56"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provide and maintain a safe and healthy workplace;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health and environmental factors into our work procedures in an efficient manner;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promptly and effectively to all safety and health incidents in our workplace and implement preventive and corrective measures;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proper housekeeping within the workplace, with properly defined locations for all materials, equipment and machinery.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Ten-League (E&amp;T) and Ten-League (PES) have been certified to have achieved bizSAFE Level 3 by the WSHC under the MOM, as a testament to our continuing commitment to health and safety.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conduct periodic safety checks on our equipment, which include checking on the standard safety requirements as well as a physical inspection of the equipment. In addition, all our statutory hoist and lifting equipment are subject to half-yearly or yearly certification by independent professional engineers to ensure that the statutory hoist and lifting equipment are in good and safe working condition. A physical load-lifting test, whereby the statutory hoist and lifting equipment is subjected to a more stringent load stress test of 125.0% of the stated maximum capacity, is also conducted on the statutory hoist and lifting equipment by independent professional engineers every four years. These engineers will then issue a certificate of test and examination for our statutory hoist and lifting equipment.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and Risk Management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achieving customer satisfaction by delivering high quality products and services.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control and assurance function is overseen by our chief executive officer, Mr. Lim. The managers in charge of each type of our equipment are responsible for ensuring that our quality control and assurance measures are complied with and will report all quality-related matters to Mr. Lim.</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the following quality control and assurance measures to maintain the high quality of the products and services that we supply: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Incoming equipment, materials, components and products delivered by our suppliers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control procedures start with ensuring the quality of the equipment, materials, components and products provided by our suppliers. Upon the receipt of equipment, materials, components or products from our suppliers, we will carry out checks on the physical dimensions and/or technical specifications to ensure that the items meet our requirements and internal inspection standards. In particular, we visually inspect the physical condition of the materials, components and products for any damage, corrosion or any other defects that could compromise the quality of our products and services. In the event of any discrepancy in the quantity or quality of the materials, components or products delivered to us or if the items do not conform to the specifications stated in the delivery order, such products will be rejected and returned to our suppliers.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Manufacturing / Customization and delivery of equipment and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put in place quality control measures in key stages of our manufacturing and customization process and also test all our finished products before delivery to our customers. This process has been formalized through detailed equipment and product checklists, which we have developed in respect of each of the key equipment and product types offered by us. Such checklists cover the different aspects of the equipment and products, including functionality and physical appearance, and have to be completed by the relevant engineer or technical staff overseeing the production, modification, customization or sale of the relevant product to ensure that all aspects of our products are thoroughly checked before they are delivered to our customers. In addition, we would also conduct a final visual inspection prior to the delivery or handing over of the products to our customers.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Maintaining a well-trained workforce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experience and technical expertise of our workers is a vital aspect of maintaining the quality of our products and services and, as such we place a strong emphasis on staff training. Our employees periodically undergo on-the-job training under the guidance of senior and more experienced personnel. Our employees are equipped with the necessary working knowledge and practical skills for their job function through the in-house training and demonstrations that we conduct and by working on projects. From time to time, we will also send our employees for external training, depending on the needs identified by the respective department heads, to upgrade their skills and keep abreast of new developments in the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a summary of the material laws and regulations that affect our Group’s business and operations in Singapore. Information contained in this section should not be construed as a comprehensive summary nor detailed analysis of laws and regulations applicable to the business and operations of our Group.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Workplace Safety and Health Act 2006 Of Singapore, or the WSH Act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WSH Act provides that every employer has the duty to take, so far as is reasonably practicable, such measures as are necessary to ensure the safety and health of his employees at work. These measures include, but are not limited to: (a) providing and maintaining for employees a work environment which is safe, without risk to health, and adequate as regards facilities and arrangements for their welfare at work; (b) ensuring that adequate safety measures are taken in respect of any machinery, equipment, plant, article or process used by the employees; (c) ensuring that those persons are not exposed to hazards arising out of the arrangement, disposal, manipulation, organization, processing, storage, transport, working or use of things in their workplace or near their workplace and under the control of the employer; (d) developing and implementing procedures for dealing with emergencies that may arise while those persons are at work; and (e) ensuring that those persons at work have adequate instruction, information, training and supervision as is necessary for them to perform their work.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every occupier of any workplace has the duty to take, so far as is reasonably practicable, such measures to ensure that the workplace is safe and without risks to health to every person within those premises, whether or not the person is at work or is an employee of the occupier, where “occupier” means,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person who has charge, management or control of those premises either on his own account or as an agent of another person, whether or not he is also the owner of those premises.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the WSH Act provides that it shall be the duty of every principal to take, so far as is reasonably practicable, such measures as are necessary to,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ensure the safety and health of any contractor engaged by the principal when at work or an employee employed by such contractor, where “principal” means a person who, in connection with any trade, business, profession or undertaking carried on by him, engages any other person otherwise than under a contract of service to supply any labor or do any work for gain or reward. The relevant regulatory body is the MOM.</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manufacturers and suppliers of machinery, equipment or hazardous substances used at work, the WSH Act provides that it is the duty of any such person to ensure, so far as is reasonably practicable: (a) that information about the safe use of the machinery, equipment or hazardous substance (including precautions (if any) to be taken for the proper use and maintenance, associated health hazards (if any) and information relating to and the results of any examinations or tests) is available to any person to whom the machinery, equipment or hazardous substances is supplied for use at work; (b) that the machinery, equipment or hazardous substance is safe, and without risk to health, when properly used; and (c) that the machinery, equipment or hazardous substance is examined and tested so as to comply with the obligation imposed by sub-paragraph (b) above.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persons who erect, install or modify machinery or equipment and persons in control of machinery for use at work, the WSH Act provides that it is the duty of any such person to ensure, as far as is reasonably practicable, that the machinery or equipment is erected, installed or modified in such a manner that it is safe, and without risk to health, when properly used.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machinery and equipment are covered by the WSH Act: (a) scaffolds and any materials or components used to erect them; (b) all lifting equipment; (c) forklifts; (d) power presses; (e) bar-benders, sheet benders and sheet rollers; (f) any equipment or piping intended for operation under pressure, including all statutory pressure vessels; (g) any equipment or piping intended to contain corrosive, toxic or flammable substances; (h) welding equipment, including any accessory, apparatus or fitting necessary to enable its use; (i) materials or components used for the construction of support structures; (j) explosive powered tools; (k) equipment used for abrasive blasting, including any accessory, apparatus or fitting necessary to enable its use and operation; (l) lathes and milling machines; and (m) machines designed for industrial use for any of the following purposes: (i) cutting, including table saws and slicing machines; (ii) packaging, including palletisers, balers and compactors; (iii) mixing by mechanical movement, including paddle mixers and ribbon mixers; and (iv) handling or processing food, including grinders, mincers, blenders and juicers.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WSH Act, the Commissioner for Workplace Safety and Health, or the CWSH, may serve a remedial order or a stop-work order in respect of a workplace if he is satisfied that (i) the workplace is in such condition, or is so located, or any part of the machinery, equipment, plant or article in the workplace is so used, that any process or work carried on in the workplace cannot be carried on with due regard to the safety, health and welfare of the persons at work; (ii) any person has contravened any duty imposed by the WSH Act; or (iii) any person has done any act, or has refrained from doing any act which, in the opinion of the CWSH, poses or is likely to pose a risk to the safety, health and welfare of persons at work. The remedial order shall direct the person served with the order to take such measures, to the satisfaction of the CWSH, to, amongst others, remedy any danger so as to enable the work or process in the workplace to be carried on with due regard to the safety, health and welfare of the persons at work, whilst the stop-work order shall direct the person served with the order to immediately cease to carry on any work indefinitely or until such measures as are required by the CWSH have been taken to remedy any danger so as to enable the work in the workplace to be carried on with due regard to the safety, health and welfare of the persons at work.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under the WSH Act, inspectors appointed by the CWSH may, among others, enter, inspect and examine any workplace and any machinery, equipment, plant, installation or article at any workplace, to make such examination and inquiry as may be necessary to ascertain whether the provisions of the WSH Act are complied with, to take samples of any material or substance found in a workplace or being discharged from any workplace for the purpose of analysis or test, to assess the levels of noise, illumination, heat or harmful or hazardous substances in any workplace and the exposure levels of persons at work therein and to take into custody any article in a workplace which is required for the purpose of an investigation or inquiry under the WSH 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Workplace Safety and Health (Incident Reporting) Regulations, or the WSHIR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4 of the WSHIR Regulations, where any accident at a workplace occurs which leads to the death of any employee, the employer shall, as soon as is reasonably practicable, notify the CWSH of the accident. Pursuant to Regulation 6 of the WSHIR Regulations, where an employee meets with an accident at a workplace, the employer shall submit a report to the CWSH in the case where the employee is certified by a registered medical practitioner or registered dentist to be unfit for work, or to require hospitalisation or to be placed on light duties, on account of the accident, not later than ten (10) days after the date the employer first has notice of the accident.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Workplace Safety and Health (Construction) Regulations 2007, or the WSHC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XI of the WSHC Regulations provides, among others, that all plant and ancillary equipment necessary for the conduct of work in any excavation or within a tunnel in the worksite shall, so far as is reasonably practicable, be: (a) of appropriate design and construction; (b) of sufficient capacity; (c) safe and without risks to health; and (d) adequately maintained.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XV of the WSHC Regulations provides, among others, for the duty of the owner of a crane, an employee’s lift or a material handling machinery being used in a worksite to ensure that the crane, employee’s lift or material handling machine is of good construction, sound material and adequate strength, free from patent defects and properly maintained. The owner of any crane used in a worksite must also provide a capacity chart in the manner specified in the WSHC Regulations where the capacity of the crane used in a worksite is variable. The occupier of a worksite shall ensure that before any crane, employee’s lift or material handling machinery is put into service for the first time in the worksite that it has been thoroughly examined and inspected by a competent person and, in the case of a crane or an employee’s lift, such examination and test is conducted by an Authorized Examiner.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Workplace Safety and Health (General Provisions) Regulations, or the WSHGP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WSHGP Regulations, the following equipment, among others, are required to be tested and examined by an examiner, or the Authorized Examiner, who is authorized by the CWSH, before they can be used in a factory and thereafter, at specified intervals:</w:t>
      </w:r>
    </w:p>
    <w:p>
      <w:pPr>
        <w:pStyle w:val="TextBody"/>
        <w:pBdr/>
        <w:bidi w:val="0"/>
        <w:spacing w:before="0" w:after="0"/>
        <w:ind w:left="0" w:right="0" w:firstLine="72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90"/>
        <w:gridCol w:w="32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hoist or lift;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3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lifting gears; and/or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3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lifting appliances and lifting machines.</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examination, the Authorized Examiner will issue and sign a certificate of test and examination, specifying the safe working load of the equipment. Such certificate of test and examination shall be kept available for inspection. Under the WSHGP Regulations, it is the duty of the occupier of a workplace to keep a register containing the requisite particulars with respect to the lifting gears, lifting appliances and lifting machines. It is also the duty of the owner of the lifting appliances or lifting machines to ensure that it is of good mechanical construction, sound material and adequate strength, and properly maintained.</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owner of a crane shall ensure that the crane is of good construction, sound material and adequate strength, free from patent defects, and properly maintained. Where the capacity of the crane used in a worksite is variable, a capacity chart which sets out the safe loads for various lengths of the job at various angles and radial distances shall be provided. Before any crane is put into service for the first time in the worksite, the crane shall also be thoroughly examined and inspected by a competent person and that such examination and test is conducted by an Authorized Examiner. The operator of a crane shall take such measures as are necessary to ensure that a suspended load is not moved over any person in the worksite and shall ensure that no load is left suspended on the crane when it is not in use.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1 March 2024, at least one top executive from construction companies must attend the Top Executive WSH Programme which aims to focus corporate leaders’ attention on how to meet their workplace safety and health responsibilities (WSH) and ways to develop their company’s WSH capabilities.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Workplace Safety and Health (Operation of Cranes) Regulations 2011, or the WSHOC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 duties imposed on a registered crane operator are set out in Regulation 16 of the WSHOC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WSHOC Regulations, only crane contractors approved by the CWSH are allowed to carry out installation, repair, alteration and dismantling of mobile cranes or tower cranes, or the Operations. Crane contractors must first obtain approval from the CWSH before they can undertake the jobs mentioned above. Upon successful application, the applicant receives a certificate of approval which is typically valid for two years from the date of approval. Crane contractors must ensure that the Operations are carried out in accordance with a manufacturer’s manual which contains instructions on safe procedures for such Operations, or where such manual is unavailable, ensure that the Operations are carried out under the immediate supervision of an Authorized Examiner. In addition, the owner of any mobile cranes or tower cranes must ensure that all of its cranes are tested and certified safe by an approved person for the Operations for which they are intended. The said cranes cannot be used unless they have been tested and certified accordingly.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operators of mobile cranes and tower cranes must be registered with the CWSH. Once registered, these operators are issued with certificates, which are typically valid for two years Only operators who possess the appropriate certificates of registration can operate these cranes. Before they may be registered, these operators must first possess the necessary qualifications required under the WSHOC Regulations. These qualifications include (i) successful completion of a training course acceptable to the CWSH on the operation of a mobile crane or tower crane; (ii) in the opinion of the CWSH, having sufficient experience in operating a mobile crane or tower crane and having passed a proficiency test acceptable to the CWSH; or (iii) any other equivalent qualification acceptable to the CWSH. In addition to the above, the CWSH may require the applicant to produce a current medical certificate from a registered medical practitioner which certifies that the applicant is medically fit to operate a mobile crane or tower crane.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WSHOC Regulations, any registered crane operator may be required to produce his certificate of registration for inspection by inspectors appointed by the CWSH. The CWSH may suspend or cancel the registration of any registered crane operator if the CWSH is satisfied that the registered crane operator has (a) obtained his registration under the WSHOC Regulations by means of fraud, false representation or the concealment of any material fraud; (b) has been certified by a registered medical practitioner to be unfit to operate a mobile crane or a tower crane; or (c) has failed to comply with any of the duties set out in the WSHOC Regulations.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Ten-League (E&amp;T) has a Certificate of Approval as Approved Crane Contractor, issued under the WSHOC Regulations, which is valid for as long as Ten-League (E&amp;T)’s bizSAFE Level 3 certification is valid.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 Lifespan of Mobile Cranes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lifespan of mobile cranes in Singapore is regulated by the Occupational Safety and Health Division under the MOM, whose primary role is to regulate and reduce the number of crane accidents caused by a technical failure of the cranes. Currently the maximum service lifespan of a mobile crane is as follows: (a) for cranes with lifting capacities of 50 tons and below, the maximum service lifespan from the date of manufacture will be 20 years; (b) for cranes with lifting capacities above 50 tons but not more than 100 tons, the maximum service lifespan from the date of manufacture will be 25 years; and (c) for cranes with lifting capacities of 100 tons and above, the maximum service lifespan from the date of manufacture will be 30 years. The maximum allowable years of service from its year of manufacture for such cranes may be extended subject to the written approval of the CWSH.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 to Equip Mobile Cranes with Data Loggers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mobile cranes with the prescribed classification codes registered with the MOM on or after August 1, 2015 have to be equipped with data loggers. The data loggers must comply with the requirements prescribed by the MOM relating to, amongst others, the ability to perform the prescribed functions and the ability to record the prescribed operational parameters.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 Injury Compensation Act 2019 Of Singapore, or the WICA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WICA provides that where personal injury is caused to any employee by an accident arising out of and in the course of the employee’s employment, his employer shall be liable to pay compensation. This applies to an individual who has entered into or works under a contract of service with an employer (but does not include any class of individuals specified in the Third Schedule to the WICA). In addition, the WICA provides that where any person (referred to as the principal) in the course of or for the purpose of his trade or business, contracts with any other person (referred to as the contractor) for the execution by the contractor of the whole or any part of any work or for the supply of labour to carry out any work undertaken by the principal, the CWSH may direct the principal to fulfil the obligations of the employer under the WICA. The WICA sets out, among other things, the amount of compensation such employees are entitled to and the method(s) of calculating such compensation. The relevant regulatory body is the MOM.</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24 of WICA, every employer shall insure and maintain insurance under one or more approved policies with a designated insurer against all liabilities which he may incur under the provisions of WICA unless specifically exempted. An employer is also required to buy work injury compensation insurance for all employees (both foreign and local) who are doing manual work (regardless of salary level) or who are doing non-manual work and earning a salary of S$2,600 or less a month (excluding any overtime payment, bonus payment, annual wage supplement, productivity incentive payment and any allowance). Failure to provide adequate insurance is an offence carrying a fine of up to S$10,000 or jail of up to 12 months, or both.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Contractors Registration System, or CRS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CRS is administered by the BCA and currently registers contractors providing construction and construction-related services for the public sector. As such, registration is only required if a contractor wishes to participate in construction tenders or carry out public sector construction projects. However, from 1 June 2025, the CRS will be expanded to serve as a nation-wide registry of all construction firms that are hiring construction S Pass and/or Work Permit holders.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1 January 2024, there were seven major registration categories under the CRS, namely Construction Workhead (CW), Construction Related Workhead (CR), Mechanical &amp; Electrical Workhead (ME), Facilities Management Workhead (FM), Supply Heads (SY), Trade Heads (TR) and Regulatory Workheads (RW), with different financial grades for each of the seven major registration categories. Registration of a contractor with the BCA and the grade assigned to was dependent on the contractor fulfilling the requisite grade requirements relating to, among others, financial capability, relevant technical personnel, management certifications and track record. The tendering limits for projects in the public sector are determined by one’s qualified grade under the CRS.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1 January 2024, BCA has migrated the Facilities Management Workhead (FM) and Supply Heads (SY) under the CRS to two new registries – the Facilities Management Registry and the Suppliers Registry – as the services provided by FM and FY firms are distinct from those provided by construction firms. No changes were made to firms’ current financial grade and registration expiry date after the migration. Any CRS applications (including renewal applications) for FM and SY workheads submitted after 1 January 2024 were deemed applications under the new registries.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current registrations of Ten-League (E&amp;T) and Ten-League (PES) in the Suppliers Registry as of the date of this annual report:</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5"/>
        <w:gridCol w:w="60"/>
        <w:gridCol w:w="934"/>
        <w:gridCol w:w="60"/>
        <w:gridCol w:w="1523"/>
        <w:gridCol w:w="60"/>
        <w:gridCol w:w="5142"/>
        <w:gridCol w:w="60"/>
        <w:gridCol w:w="500"/>
        <w:gridCol w:w="60"/>
        <w:gridCol w:w="701"/>
      </w:tblGrid>
      <w:tr>
        <w:trPr/>
        <w:tc>
          <w:tcPr>
            <w:tcW w:w="11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Workhead code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42"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Expiry date</w:t>
            </w:r>
          </w:p>
        </w:tc>
      </w:tr>
      <w:tr>
        <w:trPr/>
        <w:tc>
          <w:tcPr>
            <w:tcW w:w="11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(E&amp;T)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Engineering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commissioning, maintenance, and repair of mechanical plants, machinery, and systems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2028</w:t>
            </w:r>
          </w:p>
        </w:tc>
      </w:tr>
      <w:tr>
        <w:trPr/>
        <w:tc>
          <w:tcPr>
            <w:tcW w:w="110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(PES)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SY08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Equipment, Plant &amp; Machinery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4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mechanical plants and equipment including generators, air compressors, pumps, lathes, boilers, bulldozers, cement mixers, cranes, gondola systems, turbines and earthwork vehicles. Weapons are excluded. Firms should possess facilities and personnel to provide maintenance and back-up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2029</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Builders Licensing Scheme, or BLS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BLS falls under the purview of the Building Control Act 1989 of Singapore, or the Building Control Act, and its relevant regulations, and aims to ensure that building works are carried out by builders who are conversant with the statutory requirements of the Building Control Act. All builders carrying out both public and private building works where plans are required to be approved by the Commissioner of Building Control and/or where works are in specialist areas which have a high impact on public safety are required to apply under the BLS.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2 types of licenses under the BLS, namely the General Builder License and the Specialist Builder License. Under the General Builder License, there are 2 classes: Class 1 – where the licensee is allowed to undertake projects of any value, and Class 2, where the licensee is restricted to undertaking projects with a value of S$6 million or less. The classes of Specialist Builder License include licenses for piling works, ground support and stabilization works, instrumentation and monitoring works, structural steelwork, pre-cast concrete work and in-situ post-tensioning work.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license, if granted, shall be valid for such period specified therein, being not more than 3 years. In order to apply for, maintain and renew the licenses under the BLS, there are different requirements to be complied with for the different classes under each of the General Builder License and the Specialist Builder License, including but not limited to, requirements relating to minimum paid up capital and employment of certain personnel with prescribed qualifications.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current licenses of Ten-League (E&amp;T) and Ten-League (PES) under the BLS as of the date of this annual report:</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6"/>
        <w:gridCol w:w="60"/>
        <w:gridCol w:w="1120"/>
        <w:gridCol w:w="60"/>
        <w:gridCol w:w="6523"/>
        <w:gridCol w:w="60"/>
        <w:gridCol w:w="1036"/>
      </w:tblGrid>
      <w:tr>
        <w:trPr/>
        <w:tc>
          <w:tcPr>
            <w:tcW w:w="1346"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Code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Expiry date</w:t>
            </w:r>
          </w:p>
        </w:tc>
      </w:tr>
      <w:tr>
        <w:trPr/>
        <w:tc>
          <w:tcPr>
            <w:tcW w:w="13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(E&amp;T)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3" w:type="dxa"/>
            <w:tcBorders/>
            <w:tcMar>
              <w:bottom w:w="0" w:type="dxa"/>
            </w:tcM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Builder Class 2</w:t>
            </w:r>
          </w:p>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building works excluding works that have been designated as specialist works to be carried out by Specialist Builder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2029</w:t>
            </w:r>
          </w:p>
        </w:tc>
      </w:tr>
      <w:tr>
        <w:trPr/>
        <w:tc>
          <w:tcPr>
            <w:tcW w:w="13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(PES)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Of Foreign Manpower Act 1990 Of Singapore, or the EFMA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foreign employees in Singapore is governed by the EFMA and regulated by MOM. The EFMA prescribes the responsibilities and obligations of employers of foreign employees in Singapore.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Singapore, under Section 5(1) of the EFMA, no person shall employ a foreign employee unless he has obtained in respect of the foreign employee a valid work pass from MOM in accordance with the Employment of Foreign Manpower (Work Passes) Regulations 2012, which allows the foreign employee to work for him. Any person who fails to comply with or contravenes Section 5(1) of the EFMA shall be guilty of an offence and shall: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 liable on conviction to a fine of not less than S$5,000 and not more than S$30,000 or to imprisonment for a term not exceeding 12 months or to both; and</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 second or subsequent conviction: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individual, with a fine of not less than S$10,000 and not more than S$30,000 and with imprisonment for a term of not less than one (1) month and not more than 12 months; or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any other case, be punished with a fine of not less than S$20,000 and not more than S$60,000.</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EFMA also prescribes penalties in respect of other common offences under the EFMA, such as the contravention of any condition of a work pass, the making of a false statement or provision of false information in any application or renewal of a work pass, receiving money in connection with the employment of a foreign employee, and obtaining a work pass for a foreign employee for a business that does not exist, or is not in operation or does not require the employment of the foreign employee.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Singapore, the work pass to be issued to a foreigner is contingent on, among other things, the type of work and salary being received by the foreigner in question.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1 January 2025, in sectors excluding financial services, foreign professionals, managers and executives earning a fixed monthly salary starting from S$5,600 (such minimum increases progressively with age up to S$10,700) with acceptable qualifications may apply for an employment pass. For the financial services sector, the minimum salary is S$6,200 which increases progressively with age up to S$11,800. In addition, employment pass candidates must also pass a points-based Complementarity Assessment Framework (COMPASS) based on a holistic set of individual and firm-related attributes.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Mid-level skilled staff earning a fixed monthly salary of at least S$3,150 (such minimum increases progressively with age up to S$4,650) may apply for an S-pass. For the financial services sector, the minimum fixed monthly salary is S$3,650 (such minimum increases progressively with age up to S$5,650). With effect from 1 September 2025, such minimum will increase to $3,300 (such minimum increases progressively with age up to S$4,800) for sectors excluding financial services and $3,800 (such minimum increases progressively with age up to S$5,650) for the financial services sector.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Semi-skilled foreign workers from approved source countries working in, among others, the construction sector, may apply for a work permit.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Group employs foreign employees for our Singapore operations, we are subject to the EFMA. We have applied for the relevant work passes from MOM for all of our foreign employees. To the best of the Board’s knowledge, we have complied with the requirements of the EFMA and the conditions of such work passes.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foreign workers to the construction industry is subject to sector-specific rules, which is also regulated by MOM through, amongst others, the following policy instruments:</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source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companies are only allowed to employ foreign construction workers from approved source countries. The approved source countries are Malaysia, the People’s Republic of China, Non-traditional sources such as India, Sri Lanka, Thailand, Bangladesh, Myanmar and the Philippines and North Asian sources such as Hong Kong (HKSAR passport), Macau, South Korea and Taiwan. From 1 June 2025, non-traditional sources will also include Bhutan, Cambodia and Laos.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construction workers from Non-traditional source countries and the People’s Republic of China, basic-skilled workers are allowed to work up to a maximum of 14 years, while higher skilled workers are allowed to work up to a maximum of 26 years. There is no maximum period of employment for workers from Malaysia or North Asian source countries. All workers can only work up to 60 years of age. From 1 July 2025, non-domestic migrant workers (regardless of nationality) must be below 61 years old when applying for a work permit. They can work up to a maximum age of 63 years old.</w:t>
            </w:r>
          </w:p>
        </w:tc>
      </w:tr>
    </w:tbl>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security bonds and levies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foreign workers is also subject to the payment of levies. The levy rates vary based on which approved source country the worker is from, and whether the worker is basic-skilled or higher-skilled.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including, amongst others, where its workers’ work permits have been revoked because of unpaid levies, a construction company will have to pay a levy bond for each work permit holder, with the amount of levy bond depending on the worker’s skill level.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non-Malaysian foreign construction worker that has been successfully granted a work permit, a security bond is required to be purchased by the employer.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dependency ratio ceiling (DRC)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foreign workers that an employer is allowed to hire is limited by quota (or dependency ratio ceiling). Based on the construction sector quota, a construction company can employ five foreign workers (work permit and S-pass holders) for every local employee who earns the local qualifying salary (i.e. DRC of 83.3%). As of the date of this annual report, Ten-League (E&amp;T) can hire up to 66 additional foreign workers based on its dependency ratio ceiling. Ten-League (PES) does not currently employ any foreign workers.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S-pass holders that an employer is allowed to hire is also limited by a quota. Under the construction sector quota, the quota for S-pass holders is a maximum of 15% of the percentage of the total workforce, depending on the tier of S-pass holders. This quota is counted within the total quota for foreign workers. As of the date of this annual report, Ten-League (E&amp;T) can hire up to 7 additional S-pass holder based on its S-pass quota. Ten-League (PES) does not currently employ any S-pass 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the quota entitlement has been exceeded, new applications and renewals for work permits and S-passes may be rejected. The work permits and S-passes of excess workers may also have to be cancelled. In addition, under Section 25(1) of the EFMA, where any employer: (a) makes, or causes to be made to the Controller of Work Passes, an application for a work pass on the basis of the employer’s foreign employee entitlement; and (b) commits, or causes or permits to be committed, any act or omission which facilitates, or which results in, the inflation of the employer’s foreign employee entitlement, the Controller of Work Passes may impose on the employer a financial penalty of an amount, not exceeding $20,000, as the Controller of Work Passes may determine.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safety courses and settling-in program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construction workers must complete one of the prescribed safety courses before they can get their work permits issued. Such workers need to retake and pass the safe courses in accordance with the prescribed timelines.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their work permits can be issued, non-Malaysian work permit holders in the construction sector must attend a settling-in program if they are either first time working in Singapore or returning workers on in-principle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percentage of higher-skilled workers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of the construction work permit holders must be higher-skilled before a construction company can hire any new basic-skilled constructions workers or renew the work permits of existing basic-skilled construction workers. Work permits of any excess basic-skilled construction workers will also be revoked.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employers are also required to comply with the conditions of the work permits granted to them, such as the requirement to provide acceptable accommodation for their foreign works.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Employment of Foreign Manpower (Work Passes) Regulations 2012, an employer is required to purchase and maintain medical insurance with coverage prescribed in such regulations per 12-month period of a foreign workers’ employment (or for such shorter period where the foreign workers’ period of employment is less than 12 months) for the foreign workers’ in-patient care and day surgery except as the Controller of Work Passes may otherwise provide by notification in writing.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EFMA, an employer of foreign workers is also subject to, amongst others, the provisions set out in the Employment Act 1968 of Singapore, or the EA, the Immigration Act 1959 of Singapore, and the regulations issued thereunder.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Public Health Act 1987 of Singapore, or the EPHA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EPHA is administered by the NEA and regulates, among other things, the disposal and treatment of industrial waste and public nuisances. Under the EPHA, the Director-General of Public Health of Singapore, or the DGPH, may, on receipt of any information with respect to the existence of a nuisance liable to be dealt with summarily under the EPHA and if satisfied of the existence of a nuisance, serve a nuisance order on the person by whose act, default or sufferance the nuisance arises or continues, or if the person cannot be found, on the owner or occupier of the premises on which the nuisance arises. Some of the nuisances which are liable to be dealt with summarily under the EPHA include any factory or workplace which is not kept in a clean state, any place where there exists, or is likely to exist, any condition giving rise, or capable of giving rise to the breeding of flies or mosquitoes, any place where there occurs, or from which there emanates noise or vibration as to amount to a nuisance and any machinery, plant or any method or process used in any premises which causes a nuisance or is dangerous to public health and safety. If the DGPH receives any information in respect of the existence of a nuisance liable to be dealt with under the EPHA, a nuisance order may be served on the person responsible for the nuisance prescribing the measures to be taken to remedy the nuisance. Any failure to comply with the nuisance order served is an offense and such person is liable upon conviction for (a) a fine not exceeding S$10,000 for the first offence and to a further fine not exceeding S$1,000 for every day during which the offence continues after conviction; and (b) a fine not exceeding S$20,000 or to imprisonment for a term not exceeding 3 months or to both for the second office and to a further fine not exceeding S$1,000 for every day during which the offence continues after conviction.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Protection and Management Act 1999 of Singapore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and Management Act 1999 of Singapore and its subsidiary legislation are administered by the NEA, which provide for, among other things, laws relating to pollution control in Singapore through the regulation of various industries. Pursuant to the Environmental Protection and Management (Boundary Noise Limits for Factory Premises) Regulations, or the EPM Regulations, the owner or occupier of any factory premises shall ensure that the level of noise emitted from his premises does not exceed the maximum permissible noise levels as set out in the First Schedule to the EPM Regulations. The permissible noise levels may vary depending on the type of affected premises, which include, among others, noise sensitive premises that require peace and quiet, residential premises and commercial premises not including factory premises. Any person who fails to comply with the requirements under the EPM Regulations is guilty of an offense and liable upon conviction for (a) a fine not exceeding S$5,000 on the first conviction, and in the case of a continuing offence, to a further fine not exceeding S$200 for every day or part thereof the offence continues after the conviction; and (b) a fine not exceeding S$10,000 on a subsequent conviction, and in the case of a continuing offence, to a further fine not exceeding S$300 for every day or part thereof during which the offence continues after conviction.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Act 1968 of Singapore, or the EA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 is administered by MOM and sets out the basic terms and conditions of employment and the rights and responsibilities of employers as well as employees who are covered under the EA.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Part 4 of the EA sets out requirements for rest days, hours of work and other conditions of service for workmen who receive salaries not exceeding S$4,500 a month and employees (other than workmen or a person employed in a managerial or an executive position) who receive salaries not exceeding S$2,600 a month. Section 38(8) of the EA provides that an employee is not allowed to work for more than 12 hours in any one (1) day except in specified circumstances, such as where the work is essential to the life of the community, defense or security. In addition, Section 38(5) limits the extent of overtime work that an employee can perform to 72 hours a month.</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Employers must seek the prior approval of the Commissioner for Labor, or the CL, for exemption if they require an employee to work for more than 12 hours a day (up to a maximum of 14 hours) or more than 72 overtime hours a month. The CL may, after considering the operational needs of the employer and the health and safety of the employee or class of employees, by order in writing, exempt such employees from the overtime limits subject to such conditions as the CL thinks fit. Where such exemptions have been granted, the employer shall display the order or a copy thereof conspicuously in the place where such employees are employed.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employer who breaches the above provisions shall be guilty of an offence and shall be liable on conviction to a fine not exceeding S$5,000, and for a second or subsequent offence to a fine not exceeding S$10,000 or to imprisonment for a term not exceeding 12 months or to both.</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Board’s knowledge, we have complied with the requirements of the EA.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Central Provident Fund Act 1953 of Singapore, or the CPFA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 Provident Fund, or the CPF, is a mandatory social security savings scheme funded by contributions from employers and employees. Pursuant to the CPFA, an employer is obliged to make CPF contributions for all employees who are Singapore citizens or permanent residents who are employed in Singapore by an employer (save for employees who are employed as a master, a seaman or an apprentice in any vessel, subject to an exception for Singapore citizens employed as a master, a seaman or an apprentice in any vessel by non-exempted owners). CPF contributions are not applicable for foreigners who hold employment passes, S passes or work permits. CPF contributions are required for both ordinary wages and additional wages (subject to an ordinary wage ceiling and a yearly additional wage ceiling) of employees at the applicable prescribed rates which is dependent on, among other things, the amount of monthly wages and the age of the employee. An employer must pay both the employer’s and employee’s share of the monthly CPF contribution. However, an employer can recover the employee’s share of CPF contributions by deducting it from their wages when the contributions are paid for that month.</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amount of the contributions which an employer is liable to pay under the CPFA in respect of any month is not paid within such period as may be prescribed, the employer shall be liable for the payment of interest on the amount for every day the amount remains unpaid commencing from the first day of the month succeeding the month in respect of which the amount is payable and the interest shall be calculated at the rate of 1.5% per month or the sum of S$5, whichever is greater. Where any employer who has recovered any amount from the monthly wages of an employee in accordance with the CPFA fails to pay the contributions to the CPF within such time as may be prescribed, he will be guilty of an offense and will be liable on conviction for a fine not exceeding S$10,000 or imprisonment for a term not exceeding seven years or both.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Organizational Structure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organizational structure of the Company and its subsidiaries and a detailed description of the Company’s significant subsidiaries, see “Item 3. Key Information—Our Corporate Structure.”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Property, Plant and Equipment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offices of our operating subsidiaries are located at 7 Tuas Avenue 2, Singapore 639447. Our telephone number at this address is +65 6862 0769. As of the date of this annual report, we occupied one property in Singapore as warehouse &amp; workshop, with a total gross floor area of approximately 81,677 square meters.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4" w:name="a_008"/>
      <w:bookmarkEnd w:id="44"/>
      <w:r>
        <w:rPr>
          <w:rFonts w:ascii="Times New Roman;Times;Serif" w:hAnsi="Times New Roman;Times;Serif"/>
          <w:b/>
          <w:i w:val="false"/>
          <w:caps w:val="false"/>
          <w:smallCaps w:val="false"/>
          <w:sz w:val="20"/>
        </w:rPr>
        <w:t xml:space="preserve">ITEM 4A. UNRESOLVED STAFF COMMENTS </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 w:name="a_009"/>
      <w:bookmarkEnd w:id="45"/>
      <w:r>
        <w:rPr>
          <w:rFonts w:ascii="Times New Roman;Times;Serif" w:hAnsi="Times New Roman;Times;Serif"/>
          <w:b/>
          <w:i w:val="false"/>
          <w:caps w:val="false"/>
          <w:smallCaps w:val="false"/>
          <w:sz w:val="20"/>
        </w:rPr>
        <w:t>ITEM 5. OPERATING AND FINANCIAL REVIEW AND PROSPECTS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Operating Results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Singapore-based provider of turnkey project solutions. Our business primarily consists of sales of heavy equipment and parts, heavy equipment rental and provision of engineering consultancy services to port, construction, civil engineering and underground foundation industries. We currently conduct our operations through our wholly-owned subsidiaries, Ten-League (E&amp;T) and Ten-League (PES). The equipment we provide is organized into four categories based on their functions and application scenarios, namely, foundation equipment, hoist equipment, excavation equipment and port machinery. We also provide value-added engineering solutions under our engineering consultancy services including equipment retrofitting, upgrading, modernization, fleet management and other enhancement on equipment through the replacement or application of, among others, mechanical parts, sensor fusion, software and remote control system, with the aim to address potential safety issues, enhance reliability and productivity and allow for our customers to evaluate the performance of the equipment, the quality of the work completed and the progress of their projects. We have been striving to integrate electrification into our business. We have been supplying fully electric reach stacker and empty container handler to port operators in Singapore since 2021 and have been contracted to supply electric prime movers with swappable battery pack and build charging infrastructure since October 2022 by a leading port operator based in Singapore, or the Leading Port Operator. Meanwhile, we are actively exploring the market for fully electric wheel loader, excavator and forklift, and offering them as a part of our fleet of electrified equipment.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derived substantially all of our revenue for 2023, 2024 and 2025 from customers based in Singapore, many of which are construction engineering companies, with the remainder of the revenue generated from customers located in other countries including Indonesia.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had an aggregate of 94 units and 117 units of sales and rental of equipment, respectively. We have maintained a long and mutually beneficial relationship with SANY, our main supplier of equipment since 2007, being one of the world’s largest heavy equipment manufacturers and the first in its industry in China to be ranked among the FT Global 500 and the Forbes Global 2000.</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long-term commitment to the quality of our product and service, and the health and safety of our employees. Both Ten-League (E&amp;T) and Ten-League (PES) have been certified to have achieved bizSAFE Level 3 by the Workplace Safety and Healthy Council under the Ministry of Manpower of Singapore.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our net revenue amounted to S$72.8 million, S$58.5 million and S$76.2 million (US$59.2 million), respectively, and our net income amounted to S$7.1 million, S$1.9 million and S$5.6 million (US$4.3 million), respectively.</w:t>
      </w:r>
    </w:p>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and regional economic condition.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is dependent on the global and regional economy, the stability of the global credit markets, the industries in which our customers operate or serve, and other factors. Downturns in the general economy or in the industry where our customers operate, as well as adverse credit market conditions, can cause demand for our products to materially decrease.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Spending levels by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net revenues comes from the sales and rental of equipment to industries such as ports, construction, civil engineering, and underground foundation work. As a result, our business heavily depends on the ability and willingness of customers in these industries to make capital expenditures on renting or buying our specialized equipment. The fluctuations in our customer’s spending levels on capital expenditures and their access to credit significantly impact our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spending levels of our customers, in turn, are influenced by the level of construction and port activities in Singapore. Recently, Singapore has experienced a surge in demand for urban development, including major projects such as the Changi airport terminal 5, Marina Bay Sands expansion and cross-island MRT line coupled with the downtown MRT line extension. The development of the above-mentioned projects is expected to increase the demand for our construction equipment. In general, the increase in construction activities in Singapore will have a positive impact on our business, as will lead to increased demand for our equipment.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13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derived from sales of heavy equipment and parts increased by approximately S$15.4 million, or 33.8%, to approximately S$61.2 million (US$47.6 million) for the year ended December 31, 2025 from approximately S$45.8 million for the year ended December 31, 2024. The increase was primarily due to higher demand because of new projects started such as Changi airport terminal 5, Marina Bay Sands expansion and cross-island MRT line coupled with the downtown MRT line extension. Engineering consultancy service income remained stable at approximately S$2.2 million (US$1.7 million) for the year ended December 31, 2025 and 2024 respectively. Rental income increased by approximately S$2.3 million, or 21.1%, to approximately S$12.8 million (US$9.9 million) for the year ended December 31, 2025 from approximately S$10.5 million for the year ended December 31, 2024. This increase was primarily attributable to higher rental demands as explained earlier under the sales of heavy equipment and parts.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derived from sales of heavy equipment and parts decreased by approximately S$10.7 million, or 18.9%, to approximately S$45.8 million (US$33.5 million) for the year ended December 31, 2024 from approximately S$56.4 million for the year ended December 31, 2023. The decrease was primarily due to (a) two large cranes of approximately S$6.5 million sold in the year 2023 was not repeated in 2024; and (b) a drop in the sale of port equipment of approximately S$3.1 million, was mainly due to product mix. Demand and revenue recognised with lower sale value were higher during the year under review than last year despite almost the same quantity of equipment sold. Engineering consultancy service income decreased by approximately S$4.8 million, or 68.9%, to approximately S$2.2 million (US$1.6 million) for the year ended December 31, 2024 from approximately S$7.0 million for the year ended December 31, 2023 mainly due to the lower recognition of project progress income as the project was completed in early of the year. However, the strong demand for equipment rental from our customers during the same period helped partially offset the impact of the declined sales of our heavy equipment.</w:t>
            </w:r>
          </w:p>
        </w:tc>
      </w:tr>
    </w:tbl>
    <w:p>
      <w:pPr>
        <w:pStyle w:val="TextBody"/>
        <w:pBdr/>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Prolonged and extreme weather.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in a geographic region in which we operate may depress demand for equipment in that region. Our equipment is primarily used outdoors in construction sites and ports and, as a result, prolonged and extreme adverse weather conditions, including monsoon and typhoon, may prohibit our customers from continuing their operation.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Factors Affecting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financial condition and results of operations have been and will continue to be affected by a number of factors, many of which may be beyond our control, including those factors set out in the section headed “Item 3. Key Information—D. Risk Factors” in this annual report and those set out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following table, for the years ended December 31, 2023, 2024 and 2025, our revenue was derived from the sales of heavy equipment and parts, engineering consultancy service income and rental of our equipment, serving the port, construction, civil engineering, and underground foundation industries.</w:t>
      </w:r>
    </w:p>
    <w:p>
      <w:pPr>
        <w:pStyle w:val="TextBody"/>
        <w:pBdr/>
        <w:bidi w:val="0"/>
        <w:spacing w:before="0" w:after="0"/>
        <w:ind w:left="0" w:right="0" w:hanging="0"/>
        <w:jc w:val="both"/>
        <w:rPr>
          <w:caps w:val="false"/>
          <w:smallCaps w:val="false"/>
        </w:rPr>
      </w:pPr>
      <w:r>
        <w:rPr>
          <w:caps w:val="false"/>
          <w:smallCaps w:val="false"/>
        </w:rPr>
        <w:t> </w:t>
      </w:r>
    </w:p>
    <w:tbl>
      <w:tblPr>
        <w:tblW w:w="8514" w:type="dxa"/>
        <w:jc w:val="left"/>
        <w:tblInd w:w="0" w:type="dxa"/>
        <w:tblLayout w:type="fixed"/>
        <w:tblCellMar>
          <w:top w:w="0" w:type="dxa"/>
          <w:left w:w="0" w:type="dxa"/>
          <w:bottom w:w="0" w:type="dxa"/>
          <w:right w:w="0" w:type="dxa"/>
        </w:tblCellMar>
      </w:tblPr>
      <w:tblGrid>
        <w:gridCol w:w="3335"/>
        <w:gridCol w:w="60"/>
        <w:gridCol w:w="60"/>
        <w:gridCol w:w="590"/>
        <w:gridCol w:w="60"/>
        <w:gridCol w:w="60"/>
        <w:gridCol w:w="60"/>
        <w:gridCol w:w="485"/>
        <w:gridCol w:w="60"/>
        <w:gridCol w:w="60"/>
        <w:gridCol w:w="60"/>
        <w:gridCol w:w="590"/>
        <w:gridCol w:w="60"/>
        <w:gridCol w:w="60"/>
        <w:gridCol w:w="60"/>
        <w:gridCol w:w="485"/>
        <w:gridCol w:w="60"/>
        <w:gridCol w:w="60"/>
        <w:gridCol w:w="60"/>
        <w:gridCol w:w="590"/>
        <w:gridCol w:w="60"/>
        <w:gridCol w:w="60"/>
        <w:gridCol w:w="68"/>
        <w:gridCol w:w="671"/>
        <w:gridCol w:w="60"/>
        <w:gridCol w:w="60"/>
        <w:gridCol w:w="60"/>
        <w:gridCol w:w="485"/>
        <w:gridCol w:w="75"/>
      </w:tblGrid>
      <w:tr>
        <w:trPr/>
        <w:tc>
          <w:tcPr>
            <w:tcW w:w="33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4"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geographical location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substantially all of our net revenue, was derived from customers located in Singapore.</w:t>
      </w:r>
    </w:p>
    <w:p>
      <w:pPr>
        <w:pStyle w:val="TextBody"/>
        <w:pBdr/>
        <w:bidi w:val="0"/>
        <w:spacing w:before="0" w:after="0"/>
        <w:ind w:left="0" w:right="0" w:hanging="0"/>
        <w:jc w:val="both"/>
        <w:rPr>
          <w:caps w:val="false"/>
          <w:smallCaps w:val="false"/>
        </w:rPr>
      </w:pPr>
      <w:r>
        <w:rPr>
          <w:caps w:val="false"/>
          <w:smallCaps w:val="false"/>
        </w:rPr>
        <w:t> </w:t>
      </w:r>
    </w:p>
    <w:tbl>
      <w:tblPr>
        <w:tblW w:w="6669" w:type="dxa"/>
        <w:jc w:val="left"/>
        <w:tblInd w:w="0" w:type="dxa"/>
        <w:tblLayout w:type="fixed"/>
        <w:tblCellMar>
          <w:top w:w="0" w:type="dxa"/>
          <w:left w:w="0" w:type="dxa"/>
          <w:bottom w:w="0" w:type="dxa"/>
          <w:right w:w="0" w:type="dxa"/>
        </w:tblCellMar>
      </w:tblPr>
      <w:tblGrid>
        <w:gridCol w:w="1490"/>
        <w:gridCol w:w="60"/>
        <w:gridCol w:w="60"/>
        <w:gridCol w:w="590"/>
        <w:gridCol w:w="60"/>
        <w:gridCol w:w="60"/>
        <w:gridCol w:w="60"/>
        <w:gridCol w:w="485"/>
        <w:gridCol w:w="60"/>
        <w:gridCol w:w="60"/>
        <w:gridCol w:w="60"/>
        <w:gridCol w:w="590"/>
        <w:gridCol w:w="60"/>
        <w:gridCol w:w="60"/>
        <w:gridCol w:w="60"/>
        <w:gridCol w:w="485"/>
        <w:gridCol w:w="60"/>
        <w:gridCol w:w="60"/>
        <w:gridCol w:w="60"/>
        <w:gridCol w:w="590"/>
        <w:gridCol w:w="60"/>
        <w:gridCol w:w="60"/>
        <w:gridCol w:w="68"/>
        <w:gridCol w:w="671"/>
        <w:gridCol w:w="60"/>
        <w:gridCol w:w="60"/>
        <w:gridCol w:w="60"/>
        <w:gridCol w:w="485"/>
        <w:gridCol w:w="75"/>
      </w:tblGrid>
      <w:tr>
        <w:trPr/>
        <w:tc>
          <w:tcPr>
            <w:tcW w:w="14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4"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countries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countries include Indonesia, China and Hong Kong.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primarily consists of procurement costs of heavy equipment, batteries and parts, depreciation of plant and equipment and accessories, subcontract costs, rental of equipment and workshop expenses. For the year ended December 31, 2023, 2024 and 2025, our cost of revenue was S$57.0 million, S$47.8 million and S$57.6 million (US$44.8 million), respectively.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gross profit and gross profit margin by business segment for the periods indicated:</w:t>
      </w:r>
    </w:p>
    <w:p>
      <w:pPr>
        <w:pStyle w:val="TextBody"/>
        <w:pBdr/>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3845"/>
        <w:gridCol w:w="60"/>
        <w:gridCol w:w="60"/>
        <w:gridCol w:w="680"/>
        <w:gridCol w:w="60"/>
        <w:gridCol w:w="60"/>
        <w:gridCol w:w="60"/>
        <w:gridCol w:w="440"/>
        <w:gridCol w:w="60"/>
        <w:gridCol w:w="60"/>
        <w:gridCol w:w="60"/>
        <w:gridCol w:w="680"/>
        <w:gridCol w:w="60"/>
        <w:gridCol w:w="60"/>
        <w:gridCol w:w="60"/>
        <w:gridCol w:w="440"/>
        <w:gridCol w:w="60"/>
        <w:gridCol w:w="60"/>
        <w:gridCol w:w="60"/>
        <w:gridCol w:w="680"/>
        <w:gridCol w:w="60"/>
        <w:gridCol w:w="60"/>
        <w:gridCol w:w="60"/>
        <w:gridCol w:w="680"/>
        <w:gridCol w:w="60"/>
        <w:gridCol w:w="60"/>
        <w:gridCol w:w="60"/>
        <w:gridCol w:w="440"/>
        <w:gridCol w:w="75"/>
      </w:tblGrid>
      <w:tr>
        <w:trPr/>
        <w:tc>
          <w:tcPr>
            <w:tcW w:w="3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Engineering consultancy service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71.5</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Rental of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60.8</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15,782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b/>
              </w:rPr>
            </w:pPr>
            <w:r>
              <w:rPr>
                <w:b/>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10,658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b/>
              </w:rPr>
            </w:pPr>
            <w:r>
              <w:rPr>
                <w:b/>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18,616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14,477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b/>
              </w:rPr>
            </w:pPr>
            <w:r>
              <w:rPr>
                <w:b/>
              </w:rPr>
              <w:t>24.4</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distribution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distribution expenses primarily consists of payroll, employees benefits, commission and other headcount related expenses. For the years ended December 31, 2023, 2024 and 2025, our selling and distribution expenses was S$0.7 million, S$0.6 million and S$0.8 million (US$0.6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general and administrative expenses for the periods indicated:</w:t>
      </w:r>
    </w:p>
    <w:p>
      <w:pPr>
        <w:pStyle w:val="TextBody"/>
        <w:pBdr/>
        <w:bidi w:val="0"/>
        <w:spacing w:before="0" w:after="0"/>
        <w:ind w:left="0" w:right="0" w:hanging="0"/>
        <w:jc w:val="both"/>
        <w:rPr>
          <w:caps w:val="false"/>
          <w:smallCaps w:val="false"/>
        </w:rPr>
      </w:pPr>
      <w:r>
        <w:rPr>
          <w:caps w:val="false"/>
          <w:smallCaps w:val="false"/>
        </w:rPr>
        <w:t> </w:t>
      </w:r>
    </w:p>
    <w:tbl>
      <w:tblPr>
        <w:tblW w:w="9099" w:type="dxa"/>
        <w:jc w:val="left"/>
        <w:tblInd w:w="0" w:type="dxa"/>
        <w:tblLayout w:type="fixed"/>
        <w:tblCellMar>
          <w:top w:w="0" w:type="dxa"/>
          <w:left w:w="0" w:type="dxa"/>
          <w:bottom w:w="0" w:type="dxa"/>
          <w:right w:w="0" w:type="dxa"/>
        </w:tblCellMar>
      </w:tblPr>
      <w:tblGrid>
        <w:gridCol w:w="3665"/>
        <w:gridCol w:w="60"/>
        <w:gridCol w:w="60"/>
        <w:gridCol w:w="560"/>
        <w:gridCol w:w="60"/>
        <w:gridCol w:w="60"/>
        <w:gridCol w:w="60"/>
        <w:gridCol w:w="560"/>
        <w:gridCol w:w="60"/>
        <w:gridCol w:w="60"/>
        <w:gridCol w:w="60"/>
        <w:gridCol w:w="560"/>
        <w:gridCol w:w="60"/>
        <w:gridCol w:w="60"/>
        <w:gridCol w:w="60"/>
        <w:gridCol w:w="560"/>
        <w:gridCol w:w="60"/>
        <w:gridCol w:w="60"/>
        <w:gridCol w:w="60"/>
        <w:gridCol w:w="680"/>
        <w:gridCol w:w="60"/>
        <w:gridCol w:w="60"/>
        <w:gridCol w:w="71"/>
        <w:gridCol w:w="668"/>
        <w:gridCol w:w="60"/>
        <w:gridCol w:w="60"/>
        <w:gridCol w:w="60"/>
        <w:gridCol w:w="560"/>
        <w:gridCol w:w="75"/>
      </w:tblGrid>
      <w:tr>
        <w:trPr/>
        <w:tc>
          <w:tcPr>
            <w:tcW w:w="3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99"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3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pPr>
            <w:r>
              <w:rPr/>
              <w:t>Audit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Bank charges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Consultancy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12.7</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Directors’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IR related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0.7</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Listing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0.4</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Management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Provision for inventories obsolescence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Provision for doubtful debts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Rental of open space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Referral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Staff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34.2</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IPO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9.2</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10,666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b/>
              </w:rPr>
            </w:pPr>
            <w:r>
              <w:rPr>
                <w:b/>
              </w:rPr>
              <w:t>8,295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 includes fee incurred for the audit of the listed entity, TLIH.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charges mainly represent charges incurred on trade-related activities such as letter of credits and bill payables.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Consultancy fees incurred for the services rendered by consultants such as: (i) providing marketing strategy to enhance the company industry positioning and reputation; (ii) building relationships with relevant media outlets, journalists, and influencers in finance, sustainability, and technology sectors; (iii) identify and establish strategic partnerships with industries players and professional firms; (iv) facilitate networking opportunities with potential clients and business partners; and (v) train promoters and/or management on investor communications.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include depreciation charged on: (i) plant and machinery; (ii) computers; (iii) motor vehicles; and (iv) right-of-use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were incurred mainly on US legal counsel’s retainer fees.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 represented expenses charged by the ultimate holding company comprises employment cost, rental of office, open space and warehouse, and expenses incurred for motor cars and trucks. Management fees remain the same for both years at approximately S$1.3 million (US$ 1.0 million) for the year ended December 31, 2024 and 2025 respectively. Management fees decreased by approximately S$1.1 million to approximately S$1.4 million for the year ended December 31, 2024 from approximately S$2.5 million for the year ended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inventories obsolescence decreased by approximately S$0.5 million to S$ Nil for the year ended December 31, 2024 as there was no provision or write-down required at year 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doubtful debts amounted to approximately S$1.4 million (US$1.1 million) for the year ended December 31, 2025 due to provision made for customers that have financial difficulty paying 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of open space increased by approximately S$0.2 million to approximately S$0.3 million (US$0.2 million) for the year ended December 31, 2025 from approximately S$0.1 million for the year ended December 31, 2024 mainly due to temporary additional open space rented from third parties to store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Referral fees comprised mainly of payment to third parties who brought in successful sales of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 mainly represented the salaries, employee benefits and retirement benefit costs to our administrative employees and directors’ remuneration. Staff costs increased by approximately S$0.8 million, or 29.0% to approximately S$3.6 million (US$2.8 million) for the year ended December 31, 2025 from approximately S$2.8 million for the year ended December 31, 2024. Such increase was mainly attributable to the increase of staff salary, bonus, workers’ foreign levy and increase in rental expenses of worker dormitory. Staff costs increased by approximately S$1.3 million, or 83.0% to approximately S$2.8 million for the year ended December 31, 2024 from approximately S$1.5 million for the year ended December 31, 2023. Such increase was mainly attributable to the increase of staff costs, CPF contribution, and increase in rental expense of worker dormitory.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 were comprised of company secretarial and tax fees, insurance expenses, travelling and transportation expenses, outward freight expenses, license and IT maintenance expense, office supplies, repair and maintenance, vehicle upkeep and other general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gain/(loss),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total other gain/(loss), net, for the periods indicated:</w:t>
      </w:r>
    </w:p>
    <w:p>
      <w:pPr>
        <w:pStyle w:val="TextBody"/>
        <w:bidi w:val="0"/>
        <w:spacing w:before="0" w:after="0"/>
        <w:jc w:val="both"/>
        <w:rPr>
          <w:caps w:val="false"/>
          <w:smallCaps w:val="false"/>
        </w:rPr>
      </w:pPr>
      <w:r>
        <w:rPr>
          <w:caps w:val="false"/>
          <w:smallCaps w:val="false"/>
        </w:rPr>
        <w:t> </w:t>
      </w:r>
    </w:p>
    <w:tbl>
      <w:tblPr>
        <w:tblW w:w="7436" w:type="dxa"/>
        <w:jc w:val="left"/>
        <w:tblInd w:w="0" w:type="dxa"/>
        <w:tblLayout w:type="fixed"/>
        <w:tblCellMar>
          <w:top w:w="0" w:type="dxa"/>
          <w:left w:w="0" w:type="dxa"/>
          <w:bottom w:w="0" w:type="dxa"/>
          <w:right w:w="0" w:type="dxa"/>
        </w:tblCellMar>
      </w:tblPr>
      <w:tblGrid>
        <w:gridCol w:w="4310"/>
        <w:gridCol w:w="60"/>
        <w:gridCol w:w="79"/>
        <w:gridCol w:w="525"/>
        <w:gridCol w:w="80"/>
        <w:gridCol w:w="60"/>
        <w:gridCol w:w="79"/>
        <w:gridCol w:w="525"/>
        <w:gridCol w:w="80"/>
        <w:gridCol w:w="60"/>
        <w:gridCol w:w="79"/>
        <w:gridCol w:w="525"/>
        <w:gridCol w:w="80"/>
        <w:gridCol w:w="60"/>
        <w:gridCol w:w="97"/>
        <w:gridCol w:w="642"/>
        <w:gridCol w:w="95"/>
      </w:tblGrid>
      <w:tr>
        <w:trPr/>
        <w:tc>
          <w:tcPr>
            <w:tcW w:w="43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7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disposal of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plant &amp; machinery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back of provision for doubtful debts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back of provision for inventories obsolescence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disposal of plant &amp; machinery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plant &amp; machinery comprises mainly losses arose from the disposal of motor vehicles.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earned from providing financing services to some specific customers buying equipment from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 arose mainly from lease liabilities and trust receipts. Interest expense remain the same at approximately S$0.8 million, S$0.9 million and S$0.8 million (US$0.6 million) for the years ended December 31, 2023, 2024 and 2025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comprise mainly grants received for progressive wage credit scheme or PWCS, training grant from Skill Development Fund (SDF) and Skill Future Singapore (SSG), and Corporate Income Tax (CIT) rebate cash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primarily comprises rental of accessories and parts and service charge.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our income tax expense comprised current income tax and deferred tax expenses for the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on Year Comparison of Our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 2025 Compared to Year ended December 31, 2024 and Year ended December 31, 2024 Compared to Year ended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by approximately S$17.7 million or 30.2% to approximately S$76.2 million (US$59.2 million) for the year ended December 31, 2025 from approximately S$58.5 million for the year ended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decreased by approximately S$14.3 million or 19.6% to approximately S$58.5 million for the year ended December 31, 2024 from approximately S$72.8 million for the year ended December 31,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 increased by approximately S$15.4 million, or 33.8%, to approximately S$61.2 million (US$47.6 million) for the year ended December 31, 2025 from approximately S$45.8 million for the year ended December 31, 2024. The increase was primarily due to higher demand because of new projects started such as Changi airport terminal 5, Marina Bay Sands expansion and cross-island MRT line coupled with the downtown MRT line extension.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 decreased by approximately S$10.7 million, or 18.9%, to approximately S$45.8 million for the year ended December 31, 2024 from approximately S$56.4 million for the year ended December 31, 2023. The decrease was primarily due to (a) two large cranes of approximately S$6.5 million sold in the year 2023 was not repeated in 2024; and (b) a drop in the sale of port equipment of approximately S$3.1 million, was mainly due to product mix. Demand and revenue recognised with lower sale value were higher during the year under review than last year despite almost the same quantity of equipment sold.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 remained stable at approximately S$2.2 million (US$1.7 million) for the year ended December 31, 2025 and 2024 respectively. Despite no change in current year, project income decreased by approximately S$0.5 million to S$0.1 million (US$0.1 million) for the year ended December 31, 2025 from approximately S$0.6 million for the year ended December 31, 2024 as the project was completed in early of the year. The shortfall of the project income was replaced by an increase in transport and service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 decreased by approximately S$4.8 million, or 68.9%, to approximately S$2.2 million for the year ended December 31, 2024 from approximately S$7.0 million for the year ended December 31, 2023 mainly due to the lower recognition of project progress income as the project was completed in early of the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increased by approximately S$2.3 million, or 21.1%, to approximately S$12.8 million (US$9.9 million) for the year ended December 31, 2025 from approximately S$10.5 million for the year ended December 31, 2024. This increase was primarily attributable to higher rental demands as explained earlier under the sales of heavy equipment and parts.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increased by approximately S$1.2 million, or 13.4%, to approximately S$10.5 million for the year ended December 31, 2024 from approximately S$9.3 million for the year ended December 31, 2023. This increase was primarily attributable to higher rental demands, a continued trend from last year.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 increased by approximately S$9.8 million or 20.3%, to approximately S$57.6 million (US$44.8 million) for the year ended December 31, 2025 from approximately S$47.8 million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2024, our cost of revenue decreased by approximately S$9.2 million or 16.1%, to approximately S$47.8 million for the year ended December 31, 2024 from approximately S$57.0 million for the year ended December 31,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sales of heavy equipment and parts increased by approximately S$10.5 million, or 25.2%, to approximately S$52.0 million (US$40.4 million) for the year ended December 31, 2025 from approximately S$41.5 million for the year ended December 31, 2024. Such increase was in line with the increase in both sales volume and overall sales of our heavy equipment and batteries.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sales of heavy equipment and parts decreased by approximately S$4.9 million, or 10.5%, to approximately S$41.5 million for the year ended December 31, 2024 from approximately S$46.4 million for the year ended December 31, 2023. Such decrease was in line with the decrease in both sales volume and overall sales of our heavy equipment.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engineering consultancy service income decreased by approximately S$0.8 million, or 56.6%, to approximately S$0.6 million (US$0.5 million) for the year ended December 31, 2025 from approximately S$1.4 million for the year ended December 31, 2024. Such decrease was primarily attributable to the absence of project cost as it was completed in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quarter of 2024.</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engineering consultancy service income decreased by approximately S$3.8 million, or 72.8%, to approximately S$1.4 million for the year ended December 31, 2024 from approximately S$5.2 million for the year ended December 31, 2023. Such decrease was primarily attributable to the completion of our project with the Leading Port Operator in current year. The main bulk of the costs of the project were recorded in previous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rental of equipment increased by approximately S$0.1 million, or 1.6%, to approximately S$5.0 million (US$3.9 million) for the year ended December 31, 2025 from approximately S$4.9 million for the year ended December 31, 2024, primarily due to an increase in equipment depreciation and workshop expenses offset by a decrease in equipment leased from third parties.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rental of equipment decreased by approximately S$0.5 million, or 9.0%, to approximately S$4.9 million for the year ended December 31, 2024 from approximately S$5.4 million for the year ended December 31, 2023, primarily due to a decrease in equipment rented from third parties offset by an increase in depreciation expenses. It would be more cost efficient of using our own equipment for rental rather than renting it from third parties and sub-lease it to our customers.</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increased by approximately S$7.9 million or 74.7%, to approximately S$18.6 million (US$14.5 million) for the year ended December 31, 2025 from approximately S$10.7 million for the year ended December 31, 2024, which was in line with the increase in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approximately S$5.1 million or 32.5%, to approximately S$10.7 million for the year ended December 31, 2024 from approximately S$15.8 million for the year ended December 31, 2023, which was in line with the decrease in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sales of heavy equipment increased by approximately S$5.0 million or 117.5%, to approximately S$9.3 million (US$7.3 million) for the year ended December 31, 2025 from approximately S$4.3 million for the year ended December 31, 2024, primarily due to better product mix and margin as a result of higher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sales of heavy equipment decreased by approximately S$5.8 million or 57.7%, to approximately S$4.3 million for the year ended December 31, 2024 from approximately S$10.1 million for the year ended December 31, 2023, primarily due to stiff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engineering consultancy service income increased by approximately S$0.8 million or 104.5%, to approximately S$1.6 million (US$1.2 million) for the year ended December 31, 2025 from approximately S$0.8 million for the year ended December 31, 2024, primarily due to higher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engineering consultancy service income decreased by approximately S$1.0 million or 57.4%, to approximately S$0.8 million for the year ended December 31, 2024 from approximately S$1.8 million for the year ended December 31, 2023, primarily due to a project completed in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rental of equipment increased by approximately S$2.1 million or 38.1%, to approximately S$7.7 million (US$6.0 million) for the year ended December 31, 2025 from approximately S$5.6 million for the year ended December 31, 2024, primarily due to saving in leasing third parties equipment, offset by an increase in depreciation on own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rental of equipment increased by approximately S$1.7 million or 44.4%, to approximately S$5.6 million for the year ended December 31, 2024 from approximately S$3.9 million for the year ended December 31, 2023, primarily due to converting from renting of equipment for sub-lease to using own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margin increased by 6.2 percentage points to 24.4% for the year ended December 31, 2025 from 18.2%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margin decreased by 3.5 percentage points to 18.2% for the year ended December 31, 2024 from 21.7%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sales of heavy equipment increased by 5.9 percentage points to 15.2% for the year ended December 31, 2025 from 9.3% for the year ended December 31, 2024. The increase was mainly due to high product mix and margin as a result of higher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sales of heavy equipment decreased by 8.6 percentage points to 9.3% for the year ended December 31, 2024 from 17.9% for the year ended December 31, 2023. The decrease was mainly due to depressed gross profit margin and renewing of existing rental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engineering consultancy service income increased by 36.7 percentage points to 71.5% for the year ended December 31, 2025 from 34.8% for the year ended December 31, 2024. The increase was mainly due to the absence of lower project margin in the current periods as it was completed in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engineering consultancy service income increased by 9.3 percentage points to 34.8% for the year ended December 31, 2024 from 25.5% for the year ended December 31, 2023. The increase was mainly due to the absence of lower gross profit margin contributed from the battery swap station project in current year. The bulk of the project low margin was captured in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rental income increased by 7.5 percentage points to 60.8% for the year ended December 31, 2025 from 53.3% for the year ended December 31, 2024. This increase was primarily attributable to lower operating costs as a result of using our own equipment for the rental business rather than rent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rental income increased by 11.4 percentage points to 53.3% for the year ended December 31, 2024 from 41.9% for the year ended December 31, 2023. This increase was primarily attributable to lower operating costs as a result of using our own equipment for the rental business rather than rent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distribution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distribution expenses increased by approximately S$0.2 million or 19.7%, to approximately S$0.8 million (US$0.6 million) for the year ended December 31, 2025, from approximately S$0.6 million for the year ended December 31, 2024. The increase was mainly due to increase in staff commission as a result of higher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distribution expenses decreased by approximately S$0.1 million or 12.9%, to approximately S$0.6 million for the year ended December 31, 2024, from approximately S$0.7 million for the year ended December 31, 2023. The decrease was mainly due to decrease in staff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S$3.5 million, or 47.6%, to approximately S$10.7 million (US$8.3 million) for the year ended December 31, 2025, from approximately S$7.2 million for the year ended December 31, 2024. The increase was mainly due to the increase in the group audit fee, consultancy fee, depreciation for the right-of-use assets, directors fees, provision for doubtful debts, staff costs and IPO expenses that cannot be capitalised.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S$0.4 million, or 5.4%, to approximately S$7.2 million for the year ended December 31, 2024, from approximately S$6.9 million for the year ended December 31, 2023. The increase was mainly due to the increase in the depreciation for the right-of-use assets, referral fee payment for securing sales and staff costs offset by an absence of impairment of inventories obsolescence.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gain/(loss),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total other losses decreased by approximately S$0.1 million, or 85.2%, to approximately S$0.1 million (US$0.1 million) for the year ended December 31, 2025, from approximately S$0.2 million for the year ended December 31, 2024. The decrease was mainly due to: (i) decrease in interest income of approximately S$0.3 million due to lower finance leases taken up; (ii) decrease in government grant collection of approximately S$0.1 million as most of the funding were ended; and (iii) offset by exchange gain of approximately S$0.1 million, lower loss on disposal of plant &amp; equipment of approximately S$0.1 million and increase in income received for renting out accessories and parts and higher service income of approximately S$0.3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total other losses increased by approximately S$0.1 million, or 156.3%, to approximately S$0.2 million for the year ended December 31, 2024, from approximately S$0.1 million for the year ended December 31, 2023. The increase in the interest expense of approximately S$0.1 million was mainly due to the increase in the leasing and trust receipts interest expenses, the increase in the loss on the disposal of machinery and equipment and right-of-use assets of approximately S$0.2 million, the decrease in exchange gain and write back of provision for doubtful debts and inventories obsolescence of approximately S$0.4 million, offset by an increase in the interest income derived from finance leases of approximately S$0.6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by approximately S$0.9 million, or 115.7%, to approximately S$1.6 million (US$1.2 million) for the year ended December 31, 2025 from approximately S$0.7 million for the year ended December 31, 2024. The increase in income tax expense was in line with the increase in profit before tax and higher non-tax deductible expenses incurred mainly by the Cayman holding company and provision for doubtful debts.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decreased by approximately S$0.3 million, or 30.1%, to approximately S$0.7 million for the year ended December 31, 2024 from approximately S$1.0 million for the year ended December 31, 2023. Income tax expense of approximately S$0.3 million was under provided for in previous year which, was recorded in current year. The decrease in income tax expense was in line with the decreased in profit before tax only if the income tax expense was restated in previous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increased by approximately S$3.7 million, or 196.5%, to approximately S$5.6 million (US$4.3 million) for the year ended December 31, 2025 from approximately S$1.9 million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decreased by approximately S$5.2 million, or 73.4%, to approximately S$1.9 million for the year ended December 31, 2024 from approximately S$7.1 million for the year ended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The Cayman Islands currently levies no taxes on individuals or corporations based upon profits, income, gains or appreciation and there is no taxation in the nature of estate duty or inheritance tax.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In addition, the Cayman Islands does not impose withholding tax on dividend payments.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(E&amp;T) and Ten-League (PES) are operating in Singapore and are subject to the Singapore tax law at the corporate tax rate at 17% on the assessable income arising in Singapore during its tax year. See “Item 10. Additional Information — E. 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These financial statements are prepared in accordance with U.S. GAAP, which requires us to make estimates and assumptions that affect the reported amounts of our assets and liabilities and revenue and expenses, to disclose contingent assets and liabilities on the date of the consolidated financial statements, and to disclose the reported amounts of revenue and expenses incurred during the financial reporting period. We continue to evaluate these estimates and assumptions that we believe to be reasonable under the circumstances. We rely on these evaluations as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believe that the critical accounting policies as disclosed in this annual report reflect the more significant judgments and estimates used in preparation of our consolidated financial statements. Further, we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financial statements may not be comparable to companies that comply with the new or revised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critical accounting policies, please refer to Note- 2 Summary of Significant Accounting Policies disclosed in our consolidated financial statements included elsewhere in this report.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working capital requirements primarily related to our operating expenses. Historically, we have met our working capital and other liquidity requirements primarily through a combination of cash generated from our operations and loans from banking facilities. Going forward, we expect to fund our working capital and other liquidity requirements from various sources, including but not limited to cash generated from our operations, loans from banking facilities, the net proceeds from our initial public offering and other equity and debt financings as and when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years ended December 31, 2024 and 2025:</w:t>
      </w:r>
    </w:p>
    <w:p>
      <w:pPr>
        <w:pStyle w:val="TextBody"/>
        <w:bidi w:val="0"/>
        <w:spacing w:before="0" w:after="0"/>
        <w:jc w:val="both"/>
        <w:rPr>
          <w:caps w:val="false"/>
          <w:smallCaps w:val="false"/>
        </w:rPr>
      </w:pPr>
      <w:r>
        <w:rPr>
          <w:caps w:val="false"/>
          <w:smallCaps w:val="false"/>
        </w:rPr>
        <w:t> </w:t>
      </w:r>
    </w:p>
    <w:tbl>
      <w:tblPr>
        <w:tblW w:w="8084" w:type="dxa"/>
        <w:jc w:val="left"/>
        <w:tblInd w:w="0" w:type="dxa"/>
        <w:tblLayout w:type="fixed"/>
        <w:tblCellMar>
          <w:top w:w="0" w:type="dxa"/>
          <w:left w:w="0" w:type="dxa"/>
          <w:bottom w:w="0" w:type="dxa"/>
          <w:right w:w="0" w:type="dxa"/>
        </w:tblCellMar>
      </w:tblPr>
      <w:tblGrid>
        <w:gridCol w:w="4850"/>
        <w:gridCol w:w="60"/>
        <w:gridCol w:w="60"/>
        <w:gridCol w:w="545"/>
        <w:gridCol w:w="80"/>
        <w:gridCol w:w="60"/>
        <w:gridCol w:w="60"/>
        <w:gridCol w:w="545"/>
        <w:gridCol w:w="80"/>
        <w:gridCol w:w="60"/>
        <w:gridCol w:w="60"/>
        <w:gridCol w:w="650"/>
        <w:gridCol w:w="80"/>
        <w:gridCol w:w="60"/>
        <w:gridCol w:w="62"/>
        <w:gridCol w:w="677"/>
        <w:gridCol w:w="95"/>
      </w:tblGrid>
      <w:tr>
        <w:trPr/>
        <w:tc>
          <w:tcPr>
            <w:tcW w:w="48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 on cash and cash equivalent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 as at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8,309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provided by operating activities was approximately S$26.2 million (US$20.4 million) primarily reflecting net income of approximately S$5.6 million (US$4.3 million), as adjusted by (a) positive changes of approximately S$5.8 million (US$4.6 million) in non-cash items primarily including depreciation of plant and equipment and right-of-use assets, and loss on disposal of plant and equipment; and (b) positive changes of approximately S$14.8 million (US$11.5 million) in working capital primarily reflecting (i) an increase of approximately S$1.1 million (US$0.8 million) in accounts receivable due to better collection and a write-off provision previously provided against accounts receivable; (ii) a decrease of approximately S$0.1 million (US$0.1 million) in contract assets accrued but not yet billed; (iii) an increase of approximately S$11.4 million (US$8.9 million) in inventories so that the inventory days will be maintained in the range of 60-120 days; (iv) an increase of approximately S$1.5 million (US$1.2 million) owing to ultimate holding company; (v) a decrease of approximately S$0.6 million (US$0.5 million) in accounts payable and accrued liabilities; and (vi) an increase of approximately S$1.5 million (US$1.2 million) in income and deferred tax payable.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operating activities was approximately S$5.0 million, primarily reflecting net income of approximately S$1.8 million, as adjusted by (a) positive changes of approximately S$5.3 million in non-cash items primarily including depreciation of plant and equipment and right-of-use assets, loss on disposal of plant and equipment and reversal of allowance for inventories obsolescence; and (b) negative changes of approximately S$2.1 million in working capital primarily reflecting (i) an increase of approximately S$5.4 million in accounts receivable mainly due to better cash collection; (ii) an increase of approximately S$2.8 million in contract assets accrued but not yet billed; (iii) a decrease of approximately S$8.9 million in inventories due to year end receipt of equipment purchase; (iv) a decrease of approximately S$1.1 million owing to ultimate holding company; (v) a decrease of approximately S$0.6 million in accounts payable and accrued liabilities mainly due to the recognition of year end purchases from a supplier; and (vi) an increase of approximately S$0.3 million in income and deferred tax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used in operating activities was approximately S$5.8 million primarily reflecting net income of approximately S$7.1 million, as adjusted by (a) positive changes of approximately S$3.3 million in non-cash items primarily including depreciation of plant and equipment and right-of-use assets, and gain on disposal of plant and equipment; and (b) negative changes of approximately S$16.2 million in working capital primarily reflecting (i) a decrease of approximately S$9.4 million in accounts receivable; (ii) a decrease of approximately S$2.8 million in contract assets accrued but not yet billed; (iii) an increase of approximately S$0.9 million in inventories; (iv) a decrease of approximately S$2.0 million owing to ultimate holding company; (v) a decrease of approximately S$3.4 million in accounts payable and accrued liabilities; and (vi) an increase of approximately S$0.5 million in income and deferred tax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used in investing activities was approximately S$16.5 million (US$12.9 million), primarily consisting of purchase of plant and equipment, offset by sale proceeds from the disposal of plant and equipment and payment received from finance lease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used in investing activities was approximately S$8.7 million, primarily consisting of purchases of plant and equipment, offset by sale proceeds from the disposal of plant and equipment and payment received from finance lease receivables.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used in investing activities was approximately S$3.1 million, primarily consisting of purchases of plant and equipment, sale proceed from the disposal of plant and equipment and payment received from finance lease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provided by financing activities was approximately S$0.3 million (US$0.2 million) primarily consisting of proceed from borrowings of approximately S$4.0 million (US$3.1 million), proceed from issuance of new IPO ordinary shares of approximately S$8.2 million (US$6.4 million), partially offset by: (i) repayment for capital and interest portions of lease liabilities of approximately S$9.3 million (US$7.2 million), and S$1.2 million (US$1.0 million), respectively; and (ii) a decrease of approximately S$1.4 million (US$1.1 million) in deferred IPO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financing activities was approximately S$2.1 million primarily consisting of net proceed from borrowings of approximately S$14.4 million, partially offset by: (i) repayment for capital and interest portions of lease liabilities of approximately S$10.7 million, and S$0.9 million, respectively; and (ii) a decrease of approximately S$0.7 million in deferred IPO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provided by financing activities was approximately S$5.3 million primarily consisting of proceed from borrowings of approximately S$14.4 million, partially offset by: (i) repayment for capital and interest portions of lease liabilities of approximately S$7.5 million, and S$0.4 million, respectively; and (ii) a decrease of approximately S$1.2 million in deferred IPO expenses which would be capitalized on completion of the IPO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S$12.4 million, S$12.8 million and S$17.2 million (US$13.4 million), respectively, in 2023, 2024 and 2025. In these periods, our capital expenditure was mainly used for the purchase of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fund our future capital expenditure with our existing cash balance and the proceeds from our initial public offering. We will continue to make capital expenditures to meet the expected growth of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sufficient working capital for our requirements for at least the next 12 months from the date of this annual report, in the absence of unforeseen circumstances, considering the financial resources presently available to us, including cash and cash equivalents on hand, cash flows from our operations and the estimated net proceeds from our initial public offering.</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net, decreased by approximately S$1.9 million or 11.4% to approximately S$14.4 million (US$11.2 million) as of December 31, 2025 from approximately S$16.3 million as of December 31, 2024. The decrease was primarily due to better collection.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charge any interest on, or hold any collaterals as security over these accounts receivable balances. We generally offer credit periods of 30 to 60 days to our customers. We have not had, and do not expect to have, issues collecting payment from these longer aging invoices.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ageing analysis of our accounts receivable, net, based on the invoiced date as of the dates mentioned below:</w:t>
      </w:r>
    </w:p>
    <w:p>
      <w:pPr>
        <w:pStyle w:val="TextBody"/>
        <w:bidi w:val="0"/>
        <w:spacing w:before="0" w:after="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035"/>
        <w:gridCol w:w="60"/>
        <w:gridCol w:w="64"/>
        <w:gridCol w:w="735"/>
        <w:gridCol w:w="64"/>
        <w:gridCol w:w="64"/>
        <w:gridCol w:w="64"/>
        <w:gridCol w:w="735"/>
        <w:gridCol w:w="64"/>
        <w:gridCol w:w="64"/>
        <w:gridCol w:w="71"/>
        <w:gridCol w:w="818"/>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S$’000</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S$’000</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Within 30 days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6,345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4,799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3,732</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31 and 60 days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3,290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1,367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1,063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Between 61 and 90 days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1,413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2,261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1,758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91 and 120 days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1,089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1,307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1,016</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Between 121 and 180 days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1,478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2,230</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181 and 360 days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863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582</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Over 360 days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1,779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1,060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825</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b/>
              </w:rPr>
            </w:pPr>
            <w:r>
              <w:rPr>
                <w:b/>
              </w:rPr>
              <w:t>Total account receivables,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b/>
              </w:rPr>
            </w:pPr>
            <w:r>
              <w:rPr>
                <w:b/>
              </w:rPr>
              <w:t>16,257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b/>
              </w:rPr>
            </w:pPr>
            <w:r>
              <w:rPr>
                <w:b/>
              </w:rPr>
              <w:t>14,410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b/>
              </w:rPr>
            </w:pPr>
            <w:r>
              <w:rPr>
                <w:b/>
              </w:rPr>
              <w:t>11,206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Movements in the provision for impairment of accounts receivable are as follows:</w:t>
      </w:r>
    </w:p>
    <w:p>
      <w:pPr>
        <w:pStyle w:val="TextBody"/>
        <w:bidi w:val="0"/>
        <w:spacing w:before="0" w:after="0"/>
        <w:jc w:val="both"/>
        <w:rPr>
          <w:caps w:val="false"/>
          <w:smallCaps w:val="false"/>
        </w:rPr>
      </w:pPr>
      <w:r>
        <w:rPr>
          <w:caps w:val="false"/>
          <w:smallCaps w:val="false"/>
        </w:rPr>
        <w:t> </w:t>
      </w:r>
    </w:p>
    <w:tbl>
      <w:tblPr>
        <w:tblW w:w="5547" w:type="dxa"/>
        <w:jc w:val="left"/>
        <w:tblInd w:w="0" w:type="dxa"/>
        <w:tblLayout w:type="fixed"/>
        <w:tblCellMar>
          <w:top w:w="0" w:type="dxa"/>
          <w:left w:w="0" w:type="dxa"/>
          <w:bottom w:w="0" w:type="dxa"/>
          <w:right w:w="0" w:type="dxa"/>
        </w:tblCellMar>
      </w:tblPr>
      <w:tblGrid>
        <w:gridCol w:w="2375"/>
        <w:gridCol w:w="60"/>
        <w:gridCol w:w="66"/>
        <w:gridCol w:w="538"/>
        <w:gridCol w:w="125"/>
        <w:gridCol w:w="60"/>
        <w:gridCol w:w="66"/>
        <w:gridCol w:w="538"/>
        <w:gridCol w:w="80"/>
        <w:gridCol w:w="60"/>
        <w:gridCol w:w="60"/>
        <w:gridCol w:w="545"/>
        <w:gridCol w:w="80"/>
        <w:gridCol w:w="60"/>
        <w:gridCol w:w="73"/>
        <w:gridCol w:w="666"/>
        <w:gridCol w:w="95"/>
      </w:tblGrid>
      <w:tr>
        <w:trPr/>
        <w:tc>
          <w:tcPr>
            <w:tcW w:w="2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1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loss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 of loss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Write-back of loss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amount owing for more than 120 days by invoice date was approximately S$4.7 million (US$3.6 million), of which net balance of S$1.0 million was attributable to a special arrangement requested by our Major Supplier, to extend the credit term to a local customer, approximately S$1.5 million was purchased by customer under bank financing. After year ended December 31, 2025, the outstanding amount under the special arrangement was fully collected. In addition, we received approximately S$1.2 million from the bank.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amount owing for more than 120 days by invoice date was approximately S$4.1 million, of which net balance of S$1.8 million was attributable to a special arrangement requested by our Major Supplier, to extend the credit term to a local customer. During the year under review, we had received approximately S$1.6 million from our local customer and the same amount was paid to the corresponding major supplier.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net amount owing for more than 120 days by invoice date was approximately S$7.1 million, of which S$3.4 million was attributable to a special arrangement requested by our Major Supplier, to extend the credit term to a local customer. The condition for such request would allow us to pay our Major Supplier only after we have collected the same from the said customer, which the credit term was mutually agreed to extend to up to two years effective from May 2022. Therefore, save as above balance of approximately SS$3.4 million, approximately S$3.7 million, net, was owed for more than 120 days, representing a decrease of approximately S$0.9 million, as compared to that of approximately S$4.6 million the year ended December 31, 2022. Approximately S$0.1 million was provision made in prior years and was written back as it was not required anymore since amount had been collected.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receivables are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 and accrued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credit terms from our major suppliers are payment within 30-180 days. Our accounts payable decreased by approximately S$0.6 million or 5.3% to approximately S$11.5 million (US$8.9 million) as of December 31, 2025 from approximately S$12.1 million as of December 31, 2024. This decrease was mainly due to utilization of deposits received in advance and deduction in deferred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payable decreased by approximately S$0.6 million or 4.7% to approximately S$12.1 million as of December 31, 2024 from approximately S$12.7 million as of December 31, 2023. This decrease was mainly due to payment to suppliers, offset by an increase in advance deposit collected.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material default in payment of accounts payable during the years ended December 31, 2024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capital expenditures and contractual obligations with respect to facility leases and other operating leases. We lease all our office facilities. We expect to make future payments on existing leases from cash generated from operations. We have limited credit available from our major vendors, which further constrains our cash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and lease commitments as of December 31, 2024:</w:t>
      </w:r>
    </w:p>
    <w:p>
      <w:pPr>
        <w:pStyle w:val="TextBody"/>
        <w:bidi w:val="0"/>
        <w:spacing w:before="0" w:after="0"/>
        <w:jc w:val="both"/>
        <w:rPr>
          <w:caps w:val="false"/>
          <w:smallCaps w:val="false"/>
        </w:rPr>
      </w:pPr>
      <w:r>
        <w:rPr>
          <w:caps w:val="false"/>
          <w:smallCaps w:val="false"/>
        </w:rPr>
        <w:t> </w:t>
      </w:r>
    </w:p>
    <w:tbl>
      <w:tblPr>
        <w:tblW w:w="6922" w:type="dxa"/>
        <w:jc w:val="left"/>
        <w:tblInd w:w="0" w:type="dxa"/>
        <w:tblLayout w:type="fixed"/>
        <w:tblCellMar>
          <w:top w:w="0" w:type="dxa"/>
          <w:left w:w="0" w:type="dxa"/>
          <w:bottom w:w="28" w:type="dxa"/>
          <w:right w:w="0" w:type="dxa"/>
        </w:tblCellMar>
      </w:tblPr>
      <w:tblGrid>
        <w:gridCol w:w="2735"/>
        <w:gridCol w:w="60"/>
        <w:gridCol w:w="60"/>
        <w:gridCol w:w="680"/>
        <w:gridCol w:w="60"/>
        <w:gridCol w:w="60"/>
        <w:gridCol w:w="78"/>
        <w:gridCol w:w="886"/>
        <w:gridCol w:w="60"/>
        <w:gridCol w:w="60"/>
        <w:gridCol w:w="90"/>
        <w:gridCol w:w="844"/>
        <w:gridCol w:w="60"/>
        <w:gridCol w:w="60"/>
        <w:gridCol w:w="195"/>
        <w:gridCol w:w="859"/>
        <w:gridCol w:w="75"/>
      </w:tblGrid>
      <w:tr>
        <w:trPr/>
        <w:tc>
          <w:tcPr>
            <w:tcW w:w="2735" w:type="dxa"/>
            <w:tcBorders>
              <w:bottom w:val="single" w:sz="8"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rPr>
            </w:pPr>
            <w:r>
              <w:rPr>
                <w:b/>
              </w:rPr>
              <w:t>2-5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than 5 years</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pPr>
            <w:r>
              <w:rPr/>
              <w:t>Operating lease commitment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7,421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6,840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both"/>
              <w:rPr/>
            </w:pPr>
            <w:r>
              <w:rPr/>
              <w:t>Bank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23,333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b/>
              </w:rPr>
            </w:pPr>
            <w:r>
              <w:rPr>
                <w:b/>
              </w:rPr>
              <w:t>Total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37,619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b/>
              </w:rPr>
            </w:pPr>
            <w:r>
              <w:rPr>
                <w:b/>
              </w:rPr>
              <w:t>30,754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b/>
              </w:rPr>
            </w:pPr>
            <w:r>
              <w:rPr>
                <w:b/>
              </w:rPr>
              <w:t>6,840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b/>
              </w:rPr>
            </w:pPr>
            <w:r>
              <w:rPr>
                <w:b/>
              </w:rPr>
              <w:t>25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and lease commitments as of December 31, 2025:</w:t>
      </w:r>
    </w:p>
    <w:p>
      <w:pPr>
        <w:pStyle w:val="TextBody"/>
        <w:bidi w:val="0"/>
        <w:spacing w:before="0" w:after="0"/>
        <w:jc w:val="both"/>
        <w:rPr>
          <w:caps w:val="false"/>
          <w:smallCaps w:val="false"/>
        </w:rPr>
      </w:pPr>
      <w:r>
        <w:rPr>
          <w:caps w:val="false"/>
          <w:smallCaps w:val="false"/>
        </w:rPr>
        <w:t> </w:t>
      </w:r>
    </w:p>
    <w:tbl>
      <w:tblPr>
        <w:tblW w:w="6667" w:type="dxa"/>
        <w:jc w:val="left"/>
        <w:tblInd w:w="0" w:type="dxa"/>
        <w:tblLayout w:type="fixed"/>
        <w:tblCellMar>
          <w:top w:w="0" w:type="dxa"/>
          <w:left w:w="0" w:type="dxa"/>
          <w:bottom w:w="28" w:type="dxa"/>
          <w:right w:w="0" w:type="dxa"/>
        </w:tblCellMar>
      </w:tblPr>
      <w:tblGrid>
        <w:gridCol w:w="2480"/>
        <w:gridCol w:w="60"/>
        <w:gridCol w:w="60"/>
        <w:gridCol w:w="680"/>
        <w:gridCol w:w="60"/>
        <w:gridCol w:w="60"/>
        <w:gridCol w:w="78"/>
        <w:gridCol w:w="886"/>
        <w:gridCol w:w="60"/>
        <w:gridCol w:w="60"/>
        <w:gridCol w:w="90"/>
        <w:gridCol w:w="844"/>
        <w:gridCol w:w="60"/>
        <w:gridCol w:w="60"/>
        <w:gridCol w:w="406"/>
        <w:gridCol w:w="648"/>
        <w:gridCol w:w="75"/>
      </w:tblGrid>
      <w:tr>
        <w:trPr/>
        <w:tc>
          <w:tcPr>
            <w:tcW w:w="2480" w:type="dxa"/>
            <w:tcBorders>
              <w:bottom w:val="single" w:sz="8"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rPr>
            </w:pPr>
            <w:r>
              <w:rPr>
                <w:b/>
              </w:rPr>
              <w:t>2-5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than 5 years</w:t>
            </w:r>
          </w:p>
        </w:tc>
        <w:tc>
          <w:tcPr>
            <w:tcW w:w="75" w:type="dxa"/>
            <w:tcBorders/>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6,606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7,558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283"/>
              <w:jc w:val="left"/>
              <w:rPr/>
            </w:pPr>
            <w:r>
              <w:rPr/>
              <w:t>Bank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16,953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16,953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shd w:fill="FFFFFF" w:val="clear"/>
            <w:tcMar>
              <w:bottom w:w="0" w:type="dxa"/>
            </w:tcMar>
            <w:vAlign w:val="center"/>
          </w:tcPr>
          <w:p>
            <w:pPr>
              <w:pStyle w:val="TableContents"/>
              <w:bidi w:val="0"/>
              <w:spacing w:before="0" w:after="283"/>
              <w:jc w:val="left"/>
              <w:rPr/>
            </w:pPr>
            <w:r>
              <w:rPr/>
              <w:t> </w:t>
            </w:r>
          </w:p>
        </w:tc>
        <w:tc>
          <w:tcPr>
            <w:tcW w:w="64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b/>
              </w:rPr>
            </w:pPr>
            <w:r>
              <w:rPr>
                <w:b/>
              </w:rPr>
              <w:t>Total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31,117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b/>
              </w:rPr>
            </w:pPr>
            <w:r>
              <w:rPr>
                <w:b/>
              </w:rPr>
              <w:t>23,559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b/>
              </w:rPr>
            </w:pPr>
            <w:r>
              <w:rPr>
                <w:b/>
              </w:rPr>
              <w:t>7,558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sufficient working capital for our requirements for at least the next 12 months from the date of this annual report, absent unforeseen circumstances, taking into account the financial resources presently available to us, including cash and cash equivalents on hand, cash flows from our operations and the estimated net proceeds from the initial public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indebtedness</w:t>
      </w:r>
    </w:p>
    <w:p>
      <w:pPr>
        <w:pStyle w:val="TextBody"/>
        <w:bidi w:val="0"/>
        <w:spacing w:before="0" w:after="0"/>
        <w:jc w:val="left"/>
        <w:rPr>
          <w:caps w:val="false"/>
          <w:smallCaps w:val="false"/>
        </w:rPr>
      </w:pPr>
      <w:r>
        <w:rPr>
          <w:caps w:val="false"/>
          <w:smallCaps w:val="false"/>
        </w:rPr>
        <w:t> </w:t>
      </w:r>
    </w:p>
    <w:tbl>
      <w:tblPr>
        <w:tblW w:w="7627" w:type="dxa"/>
        <w:jc w:val="left"/>
        <w:tblInd w:w="0" w:type="dxa"/>
        <w:tblLayout w:type="fixed"/>
        <w:tblCellMar>
          <w:top w:w="0" w:type="dxa"/>
          <w:left w:w="0" w:type="dxa"/>
          <w:bottom w:w="28" w:type="dxa"/>
          <w:right w:w="0" w:type="dxa"/>
        </w:tblCellMar>
      </w:tblPr>
      <w:tblGrid>
        <w:gridCol w:w="1265"/>
        <w:gridCol w:w="60"/>
        <w:gridCol w:w="60"/>
        <w:gridCol w:w="1205"/>
        <w:gridCol w:w="60"/>
        <w:gridCol w:w="60"/>
        <w:gridCol w:w="163"/>
        <w:gridCol w:w="876"/>
        <w:gridCol w:w="215"/>
        <w:gridCol w:w="60"/>
        <w:gridCol w:w="131"/>
        <w:gridCol w:w="1508"/>
        <w:gridCol w:w="60"/>
        <w:gridCol w:w="60"/>
        <w:gridCol w:w="61"/>
        <w:gridCol w:w="697"/>
        <w:gridCol w:w="61"/>
        <w:gridCol w:w="61"/>
        <w:gridCol w:w="71"/>
        <w:gridCol w:w="818"/>
        <w:gridCol w:w="75"/>
      </w:tblGrid>
      <w:tr>
        <w:trPr/>
        <w:tc>
          <w:tcPr>
            <w:tcW w:w="1265" w:type="dxa"/>
            <w:tcBorders>
              <w:bottom w:val="single" w:sz="8" w:space="0" w:color="000000"/>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w:t>
            </w:r>
          </w:p>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9" w:type="dxa"/>
            <w:gridSpan w:val="6"/>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9"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tcMar>
              <w:bottom w:w="0" w:type="dxa"/>
            </w:tcMar>
            <w:vAlign w:val="center"/>
          </w:tcPr>
          <w:p>
            <w:pPr>
              <w:pStyle w:val="TableContents"/>
              <w:bidi w:val="0"/>
              <w:spacing w:before="0" w:after="283"/>
              <w:jc w:val="center"/>
              <w:rPr>
                <w:b/>
              </w:rPr>
            </w:pPr>
            <w:r>
              <w:rPr>
                <w:b/>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8" w:type="dxa"/>
            <w:gridSpan w:val="2"/>
            <w:tcBorders/>
            <w:tcMar>
              <w:bottom w:w="0" w:type="dxa"/>
            </w:tcMar>
            <w:vAlign w:val="center"/>
          </w:tcPr>
          <w:p>
            <w:pPr>
              <w:pStyle w:val="TableContents"/>
              <w:bidi w:val="0"/>
              <w:spacing w:before="0" w:after="283"/>
              <w:jc w:val="center"/>
              <w:rPr>
                <w:b/>
              </w:rPr>
            </w:pPr>
            <w:r>
              <w:rPr>
                <w:b/>
              </w:rPr>
              <w:t>S$’000</w:t>
            </w:r>
          </w:p>
        </w:tc>
        <w:tc>
          <w:tcPr>
            <w:tcW w:w="61"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889" w:type="dxa"/>
            <w:gridSpan w:val="2"/>
            <w:tcBorders/>
            <w:tcMar>
              <w:bottom w:w="0" w:type="dxa"/>
            </w:tcMar>
            <w:vAlign w:val="center"/>
          </w:tcPr>
          <w:p>
            <w:pPr>
              <w:pStyle w:val="TableContents"/>
              <w:bidi w:val="0"/>
              <w:spacing w:before="0" w:after="283"/>
              <w:jc w:val="center"/>
              <w:rPr>
                <w:b/>
              </w:rPr>
            </w:pPr>
            <w:r>
              <w:rPr>
                <w:b/>
              </w:rPr>
              <w:t>US$’000</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left"/>
              <w:rPr/>
            </w:pPr>
            <w:r>
              <w:rPr/>
              <w:t>Term loan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within 5 years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08" w:type="dxa"/>
            <w:tcBorders/>
            <w:shd w:fill="CCEEFF" w:val="clear"/>
            <w:tcMar>
              <w:bottom w:w="0" w:type="dxa"/>
            </w:tcMar>
            <w:vAlign w:val="center"/>
          </w:tcPr>
          <w:p>
            <w:pPr>
              <w:pStyle w:val="TableContents"/>
              <w:bidi w:val="0"/>
              <w:spacing w:before="0" w:after="283"/>
              <w:jc w:val="right"/>
              <w:rPr/>
            </w:pPr>
            <w:r>
              <w:rPr/>
              <w:t>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left"/>
              <w:rPr/>
            </w:pPr>
            <w:r>
              <w:rPr/>
              <w:t>Bills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508" w:type="dxa"/>
            <w:tcBorders/>
            <w:shd w:fill="FFFFFF" w:val="clear"/>
            <w:tcMar>
              <w:bottom w:w="0" w:type="dxa"/>
            </w:tcMar>
            <w:vAlign w:val="center"/>
          </w:tcPr>
          <w:p>
            <w:pPr>
              <w:pStyle w:val="TableContents"/>
              <w:bidi w:val="0"/>
              <w:spacing w:before="0" w:after="283"/>
              <w:jc w:val="right"/>
              <w:rPr/>
            </w:pPr>
            <w:r>
              <w:rPr/>
              <w:t>23,158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16,953</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13,184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08" w:type="dxa"/>
            <w:tcBorders/>
            <w:shd w:fill="CCEEFF" w:val="clear"/>
            <w:tcMar>
              <w:bottom w:w="0" w:type="dxa"/>
            </w:tcMar>
            <w:vAlign w:val="center"/>
          </w:tcPr>
          <w:p>
            <w:pPr>
              <w:pStyle w:val="TableContents"/>
              <w:bidi w:val="0"/>
              <w:spacing w:before="0" w:after="283"/>
              <w:jc w:val="right"/>
              <w:rPr>
                <w:b/>
              </w:rPr>
            </w:pPr>
            <w:r>
              <w:rPr>
                <w:b/>
              </w:rPr>
              <w:t>23,333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b/>
              </w:rPr>
            </w:pPr>
            <w:r>
              <w:rPr>
                <w:b/>
              </w:rPr>
              <w:t>16,953</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b/>
              </w:rPr>
            </w:pPr>
            <w:r>
              <w:rPr>
                <w:b/>
              </w:rPr>
              <w:t>13,184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term loans were obtained from several financial institutions in Singapore, which bear annual interest at a fixed rate of 3.0% and are repayable within 5 years. The term loan has been fully repaid in August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bank borrowings currently are guaranteed by personal guarantees from Mr. Jison Lim and corporate guarantee provided by Ten-League Corp, the ultimate holding company. We intend to seek a waiver for future guarantees following the completion of the initial public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2024 and 2025, we did not have any capital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we have not entered into any material off-balance sheet transactions or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 unconsolidated entity that provides financing, liquidity, market risk or credit support to us or engages in leasing, hedging or research and development services with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Research and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4. Information of the Company — B. Business Overview — Research and Development” for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Trend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year ended December 31, 2025 that are reasonably likely to have a material and adverse effect on our income, expenses, profitability, liquidity or capital resources, or that would cause the disclosed financial information to be not necessarily indicative of future results of operations or financial conditions. Please refer to “Item 5. Operating and Financial Review and Prospects—A. Operating Results —Key Factors Affecting Our Results of Operations” for details.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Critical Accounting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estimates relate to the significant areas involving management’s judgments and estimates in the preparation of our financial statements, and are those that it believes are the most critical to aid the understanding and evaluation of this management discussion and analysis:</w:t>
      </w:r>
    </w:p>
    <w:p>
      <w:pPr>
        <w:pStyle w:val="TextBody"/>
        <w:bidi w:val="0"/>
        <w:spacing w:before="0" w:after="0"/>
        <w:ind w:left="0" w:right="0" w:firstLine="36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allowance for expected credit losses on accounts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 on inventories,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lives for property, plant and equipment and impairment assessment on long-lived assets,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and uncertain tax position.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Company’s income is derived from contracts with customers in the sale of products, and as such, the revenue recognized depicts the transfer of promised goods to its customers in an amount that reflects the consideration to which the entity expects to be entitled in exchange for those goods. The Company considers the terms of the contract and all relevant facts and circumstances when applying this guidance. The Company’s revenue recognition policies are in compliance with ASC 606,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consist of a single performance obligation that the Company satisfies at a point in time. The Company recognizes product revenue when the following events have occurred: (a) the Company has transferred physical possession of the products, depending upon the method of distribution and shipping terms set forth in the customer contract, (b) the Company has a present right to payment, (c) the customer has legal title to the products, and (d) the customer bears significant risks and rewards of ownership of the products. Based on the Company’s historical practices and shipping terms specified in the sales agreements and invoices, these criteria are generally met when the products are:</w:t>
      </w:r>
    </w:p>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80"/>
        <w:gridCol w:w="941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invoiced;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Shipped from the company’s facilities or warehouse (“ex - works”, which is the Company’s standard shipping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revenues on product sales, net of Good &amp; Service Taxes (“GST”) when the title and risk of loss of products are fully transferred to the customers. The Company is subject to GST which is levied on the majority of the products at the rate of 9% on the invoiced value of sales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received as prepayment on future products are recorded as customer deposit and recognized as income when the product is shipped.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engineering consultancy services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contracts where control transfers only upon completion of the service, revenue is recognized at the point in time when:</w:t>
      </w:r>
    </w:p>
    <w:p>
      <w:pPr>
        <w:pStyle w:val="TextBody"/>
        <w:bidi w:val="0"/>
        <w:spacing w:before="0" w:after="0"/>
        <w:ind w:left="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8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 has been completed; </w:t>
            </w:r>
          </w:p>
        </w:tc>
      </w:tr>
    </w:tbl>
    <w:tbl>
      <w:tblPr>
        <w:tblW w:w="5103" w:type="dxa"/>
        <w:jc w:val="left"/>
        <w:tblInd w:w="0" w:type="dxa"/>
        <w:tblLayout w:type="fixed"/>
        <w:tblCellMar>
          <w:top w:w="0" w:type="dxa"/>
          <w:left w:w="0" w:type="dxa"/>
          <w:bottom w:w="0" w:type="dxa"/>
          <w:right w:w="0" w:type="dxa"/>
        </w:tblCellMar>
      </w:tblPr>
      <w:tblGrid>
        <w:gridCol w:w="38"/>
        <w:gridCol w:w="8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customer has accepted the service, where applicable; and </w:t>
            </w:r>
          </w:p>
        </w:tc>
      </w:tr>
    </w:tbl>
    <w:tbl>
      <w:tblPr>
        <w:tblW w:w="3768" w:type="dxa"/>
        <w:jc w:val="left"/>
        <w:tblInd w:w="0" w:type="dxa"/>
        <w:tblLayout w:type="fixed"/>
        <w:tblCellMar>
          <w:top w:w="0" w:type="dxa"/>
          <w:left w:w="0" w:type="dxa"/>
          <w:bottom w:w="0" w:type="dxa"/>
          <w:right w:w="0" w:type="dxa"/>
        </w:tblCellMar>
      </w:tblPr>
      <w:tblGrid>
        <w:gridCol w:w="38"/>
        <w:gridCol w:w="8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present right to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equipment 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is recognised on a time-proportion basis over time taking into account the effective yield on the assets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recognition policy is consistent for fiscal years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allowance for expected credit losses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years 2025 and 2024, we maintained allowances for credit losses for estimated losses resulting from the inability of our customers to make required payments. A considerable amount of judgment is required to assess the likelihood of the ultimate realization of accounts receivable. We make our estimates of the collectability of our accounts receivable by analyzing historical bad debts, specific customer creditworthiness and current economic trends. Accounting Standards Codification No. 326, Financial Instruments – Credit Losses (“ASC 326”) requires measurement and recognition of expected credit losses for financial assets held. We recognize an allowance for credit loss at the time a receivable is recorded based on our estimate of expected credit losses and adjust this estimate over the life of the receivable as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 receivable is written off against the allowance for credit loss made after all collection effort has ceased. We evaluate the aggregation and risk characteristics of a receivable pool and develop loss rates that reflect historical collections, current forecasts of future economic conditions over the time horizon we are exposed to credit risk, and payment terms or conditions that may materially affect future forecasts. See Note 6 to our consolidated financial statements included elsewhere in this report for provision of expected credit losses.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assessment on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 which comprise mainly of heavy equipment and spare parts available for sale and are primarily stated at the lower of cost (on average cost method) or net realizable value. We evaluate the realizability of our inventories, based on assumptions about expected demand and market conditions. Our assumption of expected demand is developed based on our analysis of bookings, sales backlog, sales pipeline, market forecast. Our assumption of expected demand is based on management’s estimate of future consumption for safety products and historical sales volumes.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that could affect the realizable value of our inventories and are periodically evaluated by us include historical inventory turnover ratio, anticipated sales price, new product development schedules, the effect new products might have on the sale of existing products, product obsolescence, customer concentrations, the current market price of raw materials. If, based on assumptions about expected demand and market conditions, we determine that the cost of inventories exceeds its net realizable value or inventory is excess or obsolete, we record a write-down equal to the difference between the cost of inventories and the estimated net realizable value, which may be material. If actual market conditions are more favorable, we may have higher gross margins when products that have been previously written down are sold in the normal course of business. See Note 5 to our consolidated financial statements included elsewhere in this report for impairment of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lives for plant and equipment and impairment assessment on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that consist primarily of plant and equipment stated at cost, net of accumulated depreciation and impairment, as applicable. The depreciation charge is calculated on a straight-line basis and depends on the estimated useful lives of each type of asset and, in certain circumstances, estimates of fair values and residual values. Our plant and equipment is primarily composed of office equipment, motor vehicles, machinery and equipment, which have approximately the different useful lives. See Note 2 to our consolidated financial statements included elsewhere in this report for estimated useful lives.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our long-lived assets for impairment whenever events or changes in circumstances indicate that the carrying amount of an asset (asset group) may not be recoverable. Recoverability of assets to be held and used is measured by a comparison of their carrying amount to the undiscounted future cash flows expected to be generated thereby. If such assets are not recoverable based on that test, impairment is recorded in the amount by which the carrying amount of the assets exceeds their fair value as determined in accordance with Accounting Standard Codification (“ASC”) 820.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Deferred taxes and uncertain tax position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Income Taxes, which requires the recognition of deferred tax assets and liabilities for the expected future tax consequences of temporary differences between the financial reporting basis and the tax basis of assets and liabilities, as well as for operating loss and tax credit carry-forwards.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management believes it is more likely than not that such assets will be realized. In evaluating the realizability of deferred tax assets, management considers all available positive and negative evidence, including historical operating results, cumulative earnings or losses in recent periods, scheduled reversals of taxable temporary differences, projected future taxable income, and feasible tax planning strategies. Because this assessment requires significant judgment regarding future taxable income and the timing of reversal of temporary differences, changes in these assumptions may result in a material adjustment to the valuation allowance recorded against deferred tax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applies the recognition and measurement guidance of ASC 740 for uncertain tax positions. The Company recognizes a tax benefit from a tax position only when it determines that the position is more likely than not to be sustained upon examination by the relevant taxing authority based on the technical merits of the position. The amount of benefit recognized is measured as the largest amount of benefit that has a greater than 50 percent likelihood of being realized upon ultimate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evaluation of uncertain tax positions requires significant judgment in interpreting tax laws and regulations and in assessing the potential outcome of examinations by taxing authorities. The Company records liabilities for uncertain tax positions, including related interest and penalties when applicable, based on management’s estimate of the amount that may ultimately be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determination of deferred tax assets, valuation allowances, and uncertain tax positions involves significant judgment, actual results could differ from these estimates. Changes in tax laws, tax regulations, or the outcome of tax examinations could materially affect the Company’s income tax expense, deferred tax balances, and cash flows in future periods.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6" w:name="sa_001"/>
      <w:bookmarkEnd w:id="46"/>
      <w:r>
        <w:rPr>
          <w:rFonts w:ascii="Times New Roman;Times;Serif" w:hAnsi="Times New Roman;Times;Serif"/>
          <w:b/>
          <w:i w:val="false"/>
          <w:caps w:val="false"/>
          <w:smallCaps w:val="false"/>
          <w:sz w:val="20"/>
        </w:rPr>
        <w:t xml:space="preserve">ITEM 6. DIRECTORS, SENIOR MANAGEMENT AND EMPLOYEES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Directors and Senior Management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 The business address of each of our directors and executive officers is c/o 7 Tuas Avenue 2, Singapore 639447.</w:t>
      </w:r>
    </w:p>
    <w:p>
      <w:pPr>
        <w:pStyle w:val="TextBody"/>
        <w:bidi w:val="0"/>
        <w:spacing w:before="0" w:after="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2855"/>
        <w:gridCol w:w="60"/>
        <w:gridCol w:w="350"/>
        <w:gridCol w:w="60"/>
        <w:gridCol w:w="3785"/>
      </w:tblGrid>
      <w:tr>
        <w:trPr/>
        <w:tc>
          <w:tcPr>
            <w:tcW w:w="28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 and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Jison Lim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chairman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 LiMing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and vice president </w:t>
            </w:r>
          </w:p>
        </w:tc>
      </w:tr>
      <w:tr>
        <w:trPr/>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Personnel: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 Boon Ping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 Soon Chong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technical officer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Zhou 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manager </w:t>
            </w:r>
          </w:p>
        </w:tc>
      </w:tr>
      <w:tr>
        <w:trPr/>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Ong Shen Chieh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Kong Chee Keong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8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Cheam Heng Haw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Jison Lim</w:t>
      </w:r>
      <w:r>
        <w:rPr>
          <w:rFonts w:ascii="Times New Roman;Times;Serif" w:hAnsi="Times New Roman;Times;Serif"/>
          <w:b w:val="false"/>
          <w:i w:val="false"/>
          <w:caps w:val="false"/>
          <w:smallCaps w:val="false"/>
          <w:sz w:val="20"/>
        </w:rPr>
        <w:t>, or Mr. Lim, aged 51, is our chairman, chief executive officer and a director. Mr. Lim is responsible for managing the business operation and formulating business strategies for our Group. Mr. Lim was appointed as a director of Ten-League Corp on September 26, 1998 and was appointed as our chairman, chief executive officer and a director of the Company on 17 March, 2023. He is currently a director of all the subsidiaries of our Group. He is the spouse of Ms. Lin.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Lim completed his Bachelor degree in mechanical engineering at the Hua Qiao University in 1997. He further completed his advance diploma in business administration at Society of Business Practitioners and executive program on business management at Tsinghua University in 1998 and 2012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establishment of our Group in September 1998, Mr. Lim has accumulated approximately 25 years of experience in providing equipment, value-added engineering solutions as well as maintenance and repair services to port, construction, civil engineering, logistics and underground foundation industries and hence, Mr. Lim has extensive experience in marketing and management, and played a critical role in business management and operations of our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Lin LiMing</w:t>
      </w:r>
      <w:r>
        <w:rPr>
          <w:rFonts w:ascii="Times New Roman;Times;Serif" w:hAnsi="Times New Roman;Times;Serif"/>
          <w:b w:val="false"/>
          <w:i w:val="false"/>
          <w:caps w:val="false"/>
          <w:smallCaps w:val="false"/>
          <w:sz w:val="20"/>
        </w:rPr>
        <w:t>, or Ms. Lin, aged 49, is our Vice President and a director. Ms. Lin joined our Group on May 15, 2023. Before joining our Group, she worked at Ten-League Corp from April 30, 2007. Ms. Lin is responsible for overseeing the general management, financial, operational and administrative aspects of our Group. Ms. Lin was appointed as our Vice President and a director on 3 July, 2023. She is currently a director of all the subsidiaries of our Group. She is the spouse of Mr. Lim.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Lin obtained a certificate from the general management program from NUS Business School in 2014. Since joining our Group from April 30, 2007,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Lin has accumulated approximately 17 years of experience in managing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Lim, our chairman, chief executive officer and a director, is the husband of Madam Lin, our vice president and a director. Other than as disclosed, there are no family relationships among our directors 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Personnel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Lim Boon Ping</w:t>
      </w:r>
      <w:r>
        <w:rPr>
          <w:rFonts w:ascii="Times New Roman;Times;Serif" w:hAnsi="Times New Roman;Times;Serif"/>
          <w:b w:val="false"/>
          <w:i w:val="false"/>
          <w:caps w:val="false"/>
          <w:smallCaps w:val="false"/>
          <w:sz w:val="20"/>
        </w:rPr>
        <w:t>, or Mr. Lim BP, aged 61, joined our Group in December 2020 as the chief financial officer. He is primarily responsible for overseeing the financial functions, tax and corporate secretarial matters of our Group. Mr. Lim BP has over 25 years of experience in accounting and finance. From June 1997 to November 2018, he worked as the chief financial officer of different companies in Singapore in different industries from a manufacturer and distributor of ophthalmic lenses, property developer, manufacturer of plastic components, textile and apparel supply chain, construction to trading and leasing of motor cars. Mr. Lim BP obtained the chartered certified accountant qualification from the Association of Chartered Certified Accountants (ACCA) in June 1987 and from the Institute of Singapore Chartered Accountants (ISCA) in 1993. He is a full member of ACCA and ISCA. Mr. Lim has completed the chartered valuer and appraiser programme in January 2023 and was awarded with the certificate by the Institute of Valuer and Appraisers Singapore (“IVAS”). He is currently an associate member of IVAS. He obtained a professional certification in sustainability assurance from ISCA in April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Lim BP is currently a director of Starlight Advisory Pte Ltd, an advisory and book-keeping services firm in Singapore where he is mainly responsible for overseeing all functions of the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Tok Soon Chong</w:t>
      </w:r>
      <w:r>
        <w:rPr>
          <w:rFonts w:ascii="Times New Roman;Times;Serif" w:hAnsi="Times New Roman;Times;Serif"/>
          <w:b w:val="false"/>
          <w:i w:val="false"/>
          <w:caps w:val="false"/>
          <w:smallCaps w:val="false"/>
          <w:sz w:val="20"/>
        </w:rPr>
        <w:t>, or Mr. Tok, aged 59, joined our Group in December 2018 as a chief technical officer. He is primarily responsible for developing the port business and building up the engineering capabilities for our Group. Mr. Tok is also responsible for contract negotiation, tender preparation, design and execution of mechanical, structural and electrical projects related to port and crane installations. Mr. Tok has over 34 years of experience in engineering. From January 1989 to October 1997, he worked as engineer with both Chartered Industries of Singapore and National University of Singapore primarily responsible for performing structural analysis and designing on defense equipment, vehicles and other structural components using FEM packages (Nastran, Dyna, Nike and Autodyne) and instrumentation in ST Ordnances. From October 1997 to November 2018, he joined Portek Systems &amp; Equipment Pte Ltd as a senior engineer and was later promoted as an assistant technical director in 2002 who was responsible for execution of all projects. Mr. Tok was later promoted as the technical director in 2004 and was further promoted as the managing director from 2005 to 2011 during which he was also the executive director and chief technical officer of Portek International Ltd. The Portek group was later acquired by Mitsui &amp; Co in December 2011 and delisted from Singapore stock exchange subsequently. After the acquisition of the Portek group, he remained as the executive director and chief technical officer of Portek International Pte Ltd and chief executive officer of Portek Systems &amp; Equipment Pte Ltd from 2012 to 2018. Mr. Tok obtained his Bachelor of Engineering degree (mechanical engineering) in 1994 and Master of Science (mechanical engineering) in 1997 from the National University of Singapore. He obtained his qualification as a chartered engineer in 2018 and in the same year he was elected as assessor for Chartered Engineer in Institute of Engineers Singapore for qualifying Chartered Engineer in the field of Ports and Marine Engineering in 2018 until now.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Zhou Heng</w:t>
      </w:r>
      <w:r>
        <w:rPr>
          <w:rFonts w:ascii="Times New Roman;Times;Serif" w:hAnsi="Times New Roman;Times;Serif"/>
          <w:b w:val="false"/>
          <w:i w:val="false"/>
          <w:caps w:val="false"/>
          <w:smallCaps w:val="false"/>
          <w:sz w:val="20"/>
        </w:rPr>
        <w:t>, or Mr. Zhou, aged 36, joined our Group in September 2015 as the marketing manager and was subsequently promoted as the General Manager in September 2019. He is responsible for the overall management of sales, service and operations team by managing and negotiating sale and purchase contracts with manufacturers and customers. He is also responsible for preparing annual sales forecast, providing market and cost benefit analysis to develop effective sales and marketing plans in order to develop strategies business plans and polices for our Group. Mr. Zhou has more than 12 years of experience in the industry of engineering. From August 2011 to August 2015, he worked as an engineer to develop wheel loader products and its hydraulic system and also the development of hydrostatic technology products. Mr. Zhou obtained his Bachelor Degree in mechanical engineering in July 2011 from Taiyuan University of Science and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Jeffrey Ong Shen Chieh</w:t>
      </w:r>
      <w:r>
        <w:rPr>
          <w:rFonts w:ascii="Times New Roman;Times;Serif" w:hAnsi="Times New Roman;Times;Serif"/>
          <w:b w:val="false"/>
          <w:i w:val="false"/>
          <w:caps w:val="false"/>
          <w:smallCaps w:val="false"/>
          <w:sz w:val="20"/>
        </w:rPr>
        <w:t>, or Mr. Ong, aged 50, serves as an independent director, the chairman of the nomination committee and a member of the audit committee and compensation committee. Mr. Ong has over 15 years of experience in corporate finance, private equity and merger and acquisitions. From May 2006 to August 2008, Mr. Ong worked at Provenance Capital Pte. Ltd. at which his last position was senior manager. From August 2008 to February 2012, Mr. Ong worked at EV Capital Pte. Ltd. at which his last position was senior vice-president. From March 2012 to February 2016, Mr. Ong worked as a senior manager and the head of new business development department at ORIX Leasing Singapore Limited. From December 2020 to August 2025, Mr. Ong was the Executive Director and CEO of V2Y Corporation Limited. He is currently an Executive Director of Sakal Capital Pte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Ong is currently an independent non-executive director of both Attika Group Limited and Sen Yue Holdings Limited, the issued shares of which are listed on the Catalist of Singapore Exchange Securities Trading Limited, or SGX (stock code: 53W and 5BS, respectively). Mr. Ong obtained a degree of Bachelor of Science (Real Estate) from the National University of Singapore in July 2001.</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Kong Chee Keong</w:t>
      </w:r>
      <w:r>
        <w:rPr>
          <w:rFonts w:ascii="Times New Roman;Times;Serif" w:hAnsi="Times New Roman;Times;Serif"/>
          <w:b w:val="false"/>
          <w:i w:val="false"/>
          <w:caps w:val="false"/>
          <w:smallCaps w:val="false"/>
          <w:sz w:val="20"/>
        </w:rPr>
        <w:t>, or Mr. Kong, aged 59, serves as an independent director, the chairman of the audit committee and a member of the compensation committee and nomination committee. Mr. Kong is a Chartered Accountant with more than 29 years of experience of corporate development, private equity investment as well as accounting and corporate governance. In the past decade, he developed and managed several energy projects. Mr Kong previously served as the CEO and Executive Director of a Singapore listed company, Darco Water Technologies Limited. He also founded and served as Managing Director of Penvest Co Pte Ltd. At present, Mr. Kong is serving as an independent non-executive director and chairman of the audit committee of JEP Holdings Limited and SHS Holdings Ltd. Mr Kong is also serving as the non-executive independent director for Ever Glory United Holdings Limited and PC Partner Group Limited. Mr. Kong obtained a Master’s degree in Business Administration from the University of Manchester, United Kingdom and a Bachelor’s degree in Accountancy from the National University of Singapore. He is a full member of the Institute of Singapore Chartered Accountants and member of the Singapore Institute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Cheam Heng Haw</w:t>
      </w:r>
      <w:r>
        <w:rPr>
          <w:rFonts w:ascii="Times New Roman;Times;Serif" w:hAnsi="Times New Roman;Times;Serif"/>
          <w:b w:val="false"/>
          <w:i w:val="false"/>
          <w:caps w:val="false"/>
          <w:smallCaps w:val="false"/>
          <w:sz w:val="20"/>
        </w:rPr>
        <w:t>, or Mr. Cheam, aged 51, is the chairman of the compensation committee and a member of the audit committee and nomination committee. Mr. Cheam is a qualified solicitor in Singapore and currently an equity partner with Rajah &amp; Tann Singapore, LLP. He has been involved in various public merger and acquisitions transactions and capital markets transactions. Mr. Cheam obtained his LLB Degree from the King’s College, University of London in 1999. He is a full member of the Singapore Academy of Law and the Law Society of Singapore.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three of whom are independent directors within the meaning of Nasdaq Marketplace Rule 5605(a)(2) and Rule 10A-3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Nasdaq rules and disqualification by the chairman of the relevant board meeting, a director may vote, as a director in respect of any contract, proposed contract, arrangement, proposal or transaction in which he has an interest which is not a material interest or falls within the categories as prescribed in our third amended and restated memorandum and articles of association. A director who has a material interest in any contract, proposed contract, arrangement, proposal or transaction (otherwise then by virtue of his interests, direct or indirect, in our shares or debentures or other securities of, or otherwise in or through, our Company) which is to be considered at the meeting of directors shall not be counted in the voting, nor be counted in the quorum present at such meeting. Our board of directors may exercise all the powers of the company to borrow money, mortgage or charge its undertaking, property and uncalled capital, and issue debentures, debenture stock and other securities whenever money is borrowed or as security for any debt, liability or obligation of the company or of any third party. None of our directors has a service contract with us that provides for benefits upon termination of service as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Compensation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we paid an aggregate of approximately S$739,180 and S$682,028 in cash to our executive officers and directors, respectively. For the year ended December 31, 2024, we paid an aggregate of approximately S$776,859 and S$702,700 in cash to our executive officers and directors, respectively. For the year ended December 31, 2025, we paid an aggregate of approximately S$810,554 (US$630,368) and S$650,000 (US$505,505) in cash to our executive officers and directors,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Board Practices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good faith and with a view to our best interests. Our directors must also exercise their powers only for a proper purpose. Our directors also have a duty to exercise the skills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In certain limited exception circumstances, our Company has the right to seek damages against any directors who breaches a duty owed to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work to shareholders at such meetings;</w:t>
            </w:r>
          </w:p>
        </w:tc>
      </w:tr>
    </w:tbl>
    <w:p>
      <w:pPr>
        <w:pStyle w:val="TextBody"/>
        <w:bidi w:val="0"/>
        <w:spacing w:before="0" w:after="0"/>
        <w:ind w:left="900" w:right="0" w:hanging="36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p>
      <w:pPr>
        <w:pStyle w:val="TextBody"/>
        <w:bidi w:val="0"/>
        <w:spacing w:before="0" w:after="0"/>
        <w:ind w:left="90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officers;</w:t>
            </w:r>
          </w:p>
        </w:tc>
      </w:tr>
    </w:tbl>
    <w:p>
      <w:pPr>
        <w:pStyle w:val="TextBody"/>
        <w:bidi w:val="0"/>
        <w:spacing w:before="0" w:after="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0" w:after="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registering of transfer of our shares in the register of members.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Mr. Jison Lim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dated May 15, 2023 with Mr. Lim pursuant to which he was employed as the chairman and chief executive officer of the Company. The agreement provides for an annual base salary. Under the terms of the agreement, Mr. Lim’s employment will continue indefinitely, subject to termination for any or no reason at any meeting called expressly for that purpose by a vote of the stockholders holding more than fifty percent (50%) of the shares of the Company’s issued and outstanding shares entitled to vote.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Ms. Lin LiMing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dated May 15, 2023 with Ms. Lin pursuant to which she was employed as the vice president of the Company. The agreement provides for an annual base salary. Under the terms of the agreement, Ms. Lin’s employment will continue indefinitely, subject to termination for any or no reason at any meeting called expressly for that purpose by a vote of the stockholders holding more than fifty percent (50%) of the shares of the Company’s issued and outstanding shares entitled to vote.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has entered into a director’s agreement with the Company of which the employment agreements with Mr. Lim and Ms. Lin were effective from May 15, 2023 and the others are effective from March 31, 2025. The terms and conditions of such directors’ agreements are similar in all material aspects. Each director’s agreement is for an initial term of one year and will continue until the director’s successor is duly elected and qualified. Each director’s agreement provides for a monthly base salary. Each director will be up for re-election each year at the annual shareholders’ meeting and, upon re-election, the terms and provisions of his or her director’s agreement will remain in full force and effect. Any director’s agreement may be terminated for any or no reason by the director or at a meeting called expressly for that purpose by a vote of the shareholders holding more than 50% of the Company’s issued and outstanding ordinary shares entitled to vote.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under our board of directors. We have adopted a charter for each of the committees prior to the completion of the initial public offering. Each committee’s members and functions are described below.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Kong, Mr. Ong and Mr. Cheam, all of whom are independent directors, serve on the audit committee, which is chaired by Mr. Kong. Our board of directors has determined that each are “independent” for audit committee purposes as that term is defined by the rules of the SEC and Nasdaq, and that each has sufficient knowledge in financial and auditing matters to serve on the audit committee. Our Board has designated Mr. Kong as an “audit committee financial expert”, as defined under the applicable rules of the SEC. The audit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approving the compensation of, and assessing the independence of our independent registered public accounting firm;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auditing and permissible non-audit services, and the terms of such services, to be provided by our independent registered public accounting firm;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overall audit plan with our independent registered public accounting firm and members of management responsible for preparing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and our independent registered public accounting firm our annual and quarterly financial statements and related disclosures as well as critical accounting policies and practices used by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the oversight and reviewing the adequacy of our internal control over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the integrity of our financial statements and our compliance with legal and regulatory requirements as they relate to our financial statements and accounting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audit committee report required by SEC rules to be included in our annual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all related person transactions for potential conflict of interest situations and approving all such transactions;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earnings releases.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Cheam, Mr. Ong and Mr. Kong, all of whom are independent directors, serve on the compensation committee, which is chaired by Mr. Cheam. Our Board has determined that each such member satisfies the “independence” requirements of Rule 5605(a)(2) of the Listing Rules of the Nasdaq Stock Market. The compensation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our chief executive officer in light of our company’s corporate goals and objectives and, based on such evaluation: (i) recommending to the Board the cash compensation of our chief executive officer, and (ii) reviewing and approving grants and awards to our chief executive officer under equity-based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of directors the cash compensation of our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our overall management compensation, philosophy and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administering our compensation and similar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approving the compensation of any compensation advisors;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our policies and procedures for the grant of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of directors the compensation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compensation committee report required by SEC rules, if and when required.</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Ong, Mr. Cheam and Mr. Kong, all of whom are independent directors, serve on the compensation committee, which is chaired by Mr. Ong. Our board of directors has determined that each member of the nomination committee is “independent” as defined in the applicable Nasdaq rules. The nomination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the Board’s criteria for board and committee membership;</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identifying and evaluating director candidates, including nominees recommended by stockholders;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composition of the Board to ensure that it is composed of members containing the appropriate skills and expertise to advise 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formal policy regarding board diversity and our nomination committee and Board will consider a broad range of factors relating to the qualifications and background of nominees, which may include diversity (not limited to race, gender or national origin). Our nomination committee’s and Board’s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Other Indemnification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allows us to indemnify our directors, officers and auditors acting in relation to any of our affairs against actions, costs, charges, losses, damages and expenses incurred by reason of any act done or omitted in the execution of their duties as our directors, officers and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second amended and restated memorandum and articles of association, we may indemnify our directors and officers to, among other persons, our directors and officers from and against all actions, proceedings, costs, charges, expenses, losses, damages or liabilities incurred or sustained by such persons, other than by reason of such their own dishonesty, wilful default or fraud as determined by a court of competent jurisdiction,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persons in defending (whether successfully or otherwise) any civil proceedings concerning our affairs in any court whether in the Cayman Islands or elsewhere.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Employees” for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ordinary shares, as of the date of this annual report, by:</w:t>
      </w:r>
    </w:p>
    <w:p>
      <w:pPr>
        <w:pStyle w:val="TextBody"/>
        <w:bidi w:val="0"/>
        <w:spacing w:before="0" w:after="0"/>
        <w:ind w:left="960" w:right="0" w:hanging="48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w:t>
            </w:r>
          </w:p>
        </w:tc>
      </w:tr>
    </w:tbl>
    <w:p>
      <w:pPr>
        <w:pStyle w:val="TextBody"/>
        <w:bidi w:val="0"/>
        <w:spacing w:before="0" w:after="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 and</w:t>
            </w:r>
          </w:p>
        </w:tc>
      </w:tr>
    </w:tbl>
    <w:p>
      <w:pPr>
        <w:pStyle w:val="TextBody"/>
        <w:bidi w:val="0"/>
        <w:spacing w:before="0" w:after="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 of our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29,404,342 ordinary shares of our Company issued and outstanding as of the date of this report.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sixty (60) 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address of each person listed on the table is 7 Tuas Avenue 2, Singapore 639447.</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679" w:type="dxa"/>
        <w:jc w:val="left"/>
        <w:tblInd w:w="0" w:type="dxa"/>
        <w:tblLayout w:type="fixed"/>
        <w:tblCellMar>
          <w:top w:w="0" w:type="dxa"/>
          <w:left w:w="0" w:type="dxa"/>
          <w:bottom w:w="0" w:type="dxa"/>
          <w:right w:w="0" w:type="dxa"/>
        </w:tblCellMar>
      </w:tblPr>
      <w:tblGrid>
        <w:gridCol w:w="4370"/>
        <w:gridCol w:w="60"/>
        <w:gridCol w:w="84"/>
        <w:gridCol w:w="1548"/>
        <w:gridCol w:w="84"/>
        <w:gridCol w:w="84"/>
        <w:gridCol w:w="117"/>
        <w:gridCol w:w="1102"/>
        <w:gridCol w:w="23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Shares Beneficially Owned</w:t>
            </w:r>
          </w:p>
        </w:tc>
        <w:tc>
          <w:tcPr>
            <w:tcW w:w="230" w:type="dxa"/>
            <w:tcBorders/>
            <w:vAlign w:val="center"/>
          </w:tcPr>
          <w:p>
            <w:pPr>
              <w:pStyle w:val="TableContents"/>
              <w:bidi w:val="0"/>
              <w:spacing w:before="0" w:after="283"/>
              <w:jc w:val="left"/>
              <w:rPr/>
            </w:pPr>
            <w:r>
              <w:rPr/>
              <w:t> </w:t>
            </w:r>
          </w:p>
        </w:tc>
      </w:tr>
      <w:tr>
        <w:trPr/>
        <w:tc>
          <w:tcPr>
            <w:tcW w:w="4370" w:type="dxa"/>
            <w:tcBorders>
              <w:bottom w:val="single" w:sz="8" w:space="0" w:color="000000"/>
            </w:tcBorders>
            <w:tcMar>
              <w:bottom w:w="28" w:type="dxa"/>
            </w:tcMar>
            <w:vAlign w:val="center"/>
          </w:tcPr>
          <w:p>
            <w:pPr>
              <w:pStyle w:val="TableContents"/>
              <w:bidi w:val="0"/>
              <w:spacing w:before="0" w:after="283"/>
              <w:jc w:val="center"/>
              <w:rPr>
                <w:b/>
              </w:rPr>
            </w:pPr>
            <w:r>
              <w:rPr>
                <w:b/>
              </w:rPr>
              <w:t>Name of Beneficial Owners</w:t>
            </w:r>
          </w:p>
        </w:tc>
        <w:tc>
          <w:tcPr>
            <w:tcW w:w="60" w:type="dxa"/>
            <w:tcBorders/>
            <w:vAlign w:val="center"/>
          </w:tcPr>
          <w:p>
            <w:pPr>
              <w:pStyle w:val="TableContents"/>
              <w:bidi w:val="0"/>
              <w:spacing w:before="0" w:after="283"/>
              <w:jc w:val="left"/>
              <w:rPr/>
            </w:pPr>
            <w:r>
              <w:rPr/>
              <w:t> </w:t>
            </w:r>
          </w:p>
        </w:tc>
        <w:tc>
          <w:tcPr>
            <w:tcW w:w="16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w:t>
            </w:r>
            <w:r>
              <w:rPr>
                <w:rFonts w:ascii="Times New Roman;Times;Serif" w:hAnsi="Times New Roman;Times;Serif"/>
                <w:b/>
                <w:position w:val="7"/>
                <w:sz w:val="16"/>
                <w:sz w:val="20"/>
              </w:rPr>
              <w:t>(2)</w:t>
            </w:r>
          </w:p>
        </w:tc>
        <w:tc>
          <w:tcPr>
            <w:tcW w:w="23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2"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u w:val="single"/>
              </w:rPr>
            </w:pPr>
            <w:r>
              <w:rPr>
                <w:u w:val="single"/>
              </w:rPr>
              <w:t>Named directors and Executive Officers*: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Jison Lim</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23,618,255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80.32</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Ms. Lin LiMing</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u w:val="single"/>
              </w:rPr>
            </w:pPr>
            <w:r>
              <w:rPr>
                <w:u w:val="single"/>
              </w:rPr>
              <w:t>Independent director:</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Mr. Jeffrey Ong Shen Chieh</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Mr. Kong Chee Keong</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Mr. Cheam Heng Haw</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23,618,255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80.32</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u w:val="single"/>
              </w:rPr>
            </w:pPr>
            <w:r>
              <w:rPr>
                <w:u w:val="single"/>
              </w:rPr>
              <w:t>5% Shareholders*: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23,618,255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80.32</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Ten-League Corp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business address of our directors, executive officers and Ten-League Corp is c/o 7 Tuas Avenue 2, Singapore 639447.</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 Ten-League Corp owned as to 99.0% by Mr. Lim and 1.0% by Ms. Lin. </w:t>
      </w:r>
    </w:p>
    <w:p>
      <w:pPr>
        <w:pStyle w:val="TextBody"/>
        <w:bidi w:val="0"/>
        <w:spacing w:before="0" w:after="0"/>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Based on 29,404,342 ordinary shares issued and outstanding as of the date of this annual report.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none of our outstanding ordinary shares were held by record holders in the United States. We are not aware of any arrangement that may, at a subsequent date, result in a change of control of our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Disclosure of a Registrant’s Action to Recover Erroneously Awarded Compensation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7" w:name="sa_002"/>
      <w:bookmarkEnd w:id="47"/>
      <w:r>
        <w:rPr>
          <w:rFonts w:ascii="Times New Roman;Times;Serif" w:hAnsi="Times New Roman;Times;Serif"/>
          <w:b/>
          <w:i w:val="false"/>
          <w:caps w:val="false"/>
          <w:smallCaps w:val="false"/>
          <w:sz w:val="20"/>
        </w:rPr>
        <w:t xml:space="preserve">ITEM 7. MAJOR SHAREHOLDERS AND RELATED PARTY TRANSACTIONS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Major Shareholders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Directors, Senior Management and Employees—E. Share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Related Party Transactions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C. Board Practices — Terms of Directors and Executive Officers” and “Item 6. Directors, Senior Management and Employees—D. Employees—Indemnification Agreements” for a description of the employment agreements and indemnification agreements we have entered into with our senior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employment agreements, indemnification agreements and the securities issuances, we describe below the related party transactions of our Company that occurred during the years ended December 31, 2023, 2024 and 2025.</w:t>
      </w:r>
    </w:p>
    <w:p>
      <w:pPr>
        <w:pStyle w:val="TextBody"/>
        <w:bidi w:val="0"/>
        <w:spacing w:before="0" w:after="0"/>
        <w:jc w:val="left"/>
        <w:rPr>
          <w:caps w:val="false"/>
          <w:smallCaps w:val="false"/>
        </w:rPr>
      </w:pPr>
      <w:r>
        <w:rPr>
          <w:caps w:val="false"/>
          <w:smallCaps w:val="false"/>
        </w:rPr>
        <w:t> </w:t>
      </w:r>
    </w:p>
    <w:tbl>
      <w:tblPr>
        <w:tblW w:w="5312" w:type="dxa"/>
        <w:jc w:val="left"/>
        <w:tblInd w:w="0" w:type="dxa"/>
        <w:tblLayout w:type="fixed"/>
        <w:tblCellMar>
          <w:top w:w="0" w:type="dxa"/>
          <w:left w:w="0" w:type="dxa"/>
          <w:bottom w:w="0" w:type="dxa"/>
          <w:right w:w="0" w:type="dxa"/>
        </w:tblCellMar>
      </w:tblPr>
      <w:tblGrid>
        <w:gridCol w:w="3095"/>
        <w:gridCol w:w="60"/>
        <w:gridCol w:w="66"/>
        <w:gridCol w:w="540"/>
        <w:gridCol w:w="66"/>
        <w:gridCol w:w="66"/>
        <w:gridCol w:w="66"/>
        <w:gridCol w:w="540"/>
        <w:gridCol w:w="66"/>
        <w:gridCol w:w="66"/>
        <w:gridCol w:w="66"/>
        <w:gridCol w:w="540"/>
        <w:gridCol w:w="75"/>
      </w:tblGrid>
      <w:tr>
        <w:trPr/>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8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transactions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Corporations Pte. Ltd.</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fee charged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 of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 of spare parts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 of motor vehicles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Expenses paid on behalf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Services rendered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Lease payments in respect of: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Factory premises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Sale of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Green Energy Pte. Ltd.</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Subcontract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related parties are controlled by the common shareholders of the Company.</w:t>
      </w:r>
    </w:p>
    <w:p>
      <w:pPr>
        <w:pStyle w:val="TextBody"/>
        <w:bidi w:val="0"/>
        <w:spacing w:before="0" w:after="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60"/>
        <w:gridCol w:w="4040"/>
      </w:tblGrid>
      <w:tr>
        <w:trPr/>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Ultimate holding company</w:t>
            </w:r>
          </w:p>
        </w:tc>
      </w:tr>
      <w:tr>
        <w:trPr/>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- 100% held by Ten-League Corporations Pte Ltd</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transactions and balances detailed elsewhere in these accompanying consolidated financial statements, the Company has no other significant or material related party transactions during the years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Interests of Experts and Counsel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8" w:name="sa_003"/>
      <w:bookmarkEnd w:id="48"/>
      <w:r>
        <w:rPr>
          <w:rFonts w:ascii="Times New Roman;Times;Serif" w:hAnsi="Times New Roman;Times;Serif"/>
          <w:b/>
          <w:i w:val="false"/>
          <w:caps w:val="false"/>
          <w:smallCaps w:val="false"/>
          <w:sz w:val="20"/>
        </w:rPr>
        <w:t xml:space="preserve">ITEM 8. FINANCIAL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Consolidated Statements and Other Financial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18 for a list of our annual consolidated financial statements filed as part of this annual report on Form 20-F.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such as those relating to breach of contract and labor and employment claims.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and we are not aware of any threat of, any legal or administrative proceedings that, in the opinion of our management, are likely to have any material and adverse effect on our business, financial condition, cash-flow or results of operations. We may periodically be subject to legal proceedings, investigations and claims relating to our business. We may also initiate legal proceedings to protect our rights and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Policy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paid by the companies comprising our Group for the years ended December 31, 2024 and 2025. Dividends of approximately S$6,000,000 was paid by the companies comprising our Group for the years ended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the distribution of a dividend in the future, our board of directors shall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The payment of dividends, in certain circumstances is also subject to the approval of our Shareholders, the Cayman Islands Companies Act and our second amended and restated articles of association as well as any other applicable laws. Currently, we anticipate to adopt a general annual dividend policy of declaring and paying dividends on an annual basis of not less than 15% of our distributable profits for any particular financial year. The amount of any dividends to be declared and paid in the future will be always subject to the factors mentioned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If our board of directors decides to pay dividends, the form, frequency and amount will depend upon our future operations and earnings, capital requirements and surplus, general financial condition, contractual restrictions and other factors that board of directors may deem relevant. In addition, we are a holding company and depend on the receipt of dividends and other distributions from our subsidiaries to pay dividends on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foreign exchange controls or foreign exchange regulations under current applicable laws of the various places of incorporation of our significant subsidiaries that would affect the payment or remittance of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Significant Changes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9" w:name="sa_004"/>
      <w:bookmarkEnd w:id="49"/>
      <w:r>
        <w:rPr>
          <w:rFonts w:ascii="Times New Roman;Times;Serif" w:hAnsi="Times New Roman;Times;Serif"/>
          <w:b/>
          <w:i w:val="false"/>
          <w:caps w:val="false"/>
          <w:smallCaps w:val="false"/>
          <w:sz w:val="20"/>
        </w:rPr>
        <w:t xml:space="preserve">ITEM 9. THE OFFER AND LISTING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Offering and Listing Details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for the listing of our ordinary shares on Nasdaq under the symbol “TLIH”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Plan of Distribution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Markets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9.A.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Selling Shareholders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Dilution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Expenses of the Issue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0" w:name="sa_005"/>
      <w:bookmarkEnd w:id="50"/>
      <w:r>
        <w:rPr>
          <w:rFonts w:ascii="Times New Roman;Times;Serif" w:hAnsi="Times New Roman;Times;Serif"/>
          <w:b/>
          <w:i w:val="false"/>
          <w:caps w:val="false"/>
          <w:smallCaps w:val="false"/>
          <w:sz w:val="20"/>
        </w:rPr>
        <w:t xml:space="preserve">ITEM 10. ADDITIONAL INFORMATION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Share capital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Memorandum and Articles of Association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annual report the description of our second amended and restated memorandum and articles of association contained under the heading “Description of Share Capital” in our registration statement on Form F-1 (File No. 333- 275240) originally filed with the SEC on October 18, 2024,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Material Contracts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“Item 5. Operating and Financial Review and Prospects”, “Item 7. Major Shareholders and Related Party Transactions” or elsewhere in this annual report on Form 20-F.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Exchange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foreign exchange controls exist in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Taxation </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an undertaking from the Governor in Cabinet of the Cayman Islands to the effect that, for a period of 20 years from the date of the undertaking, no law that thereafter is enacted in the Cayman Islands imposing any tax or duty to be levied on profits, income or on gains or appreciation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Tax Considerations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One Tier Corporate Taxation System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1, 2008, Singapore resident companies can issue one-tier tax exempt dividends. This means shareholders will not be taxed on this dividend income. However, dividends received from shares in co-operatives are taxable.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Withholding Taxes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currently does not impose withholding tax on dividends.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Goods and Services Tax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Goods and Services Tax, or GST, in Singapore is a broad-based consumption tax that is levied on import of goods into Singapore, as well as nearly all supplies of goods and services in Singapore at the prevailing rate of 9% with effect from January 1, 2024.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Tax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regarded as tax resident in Singapore if the control and management of its business is exercised in Singapore.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taxpayers who are Singapore tax residents are subject to Singapore income tax on income accruing in or derived from Singapore and, subject to certain exceptions, on foreign-sourced income received or deemed to be received in 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foreign-sourced income in the form of dividends, branch profits and service income received or deemed to be received in Singapore by Singapore tax resident companies on or after June 1, 2003 is exempt from tax if certain prescribed conditions are met, including the following:</w:t>
      </w:r>
    </w:p>
    <w:p>
      <w:pPr>
        <w:pStyle w:val="TextBody"/>
        <w:shd w:fill="FFFFFF" w:val="clear"/>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under the law of the jurisdiction from which such income is received;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concessions and clarifications have also been announced by the Inland Revenue Authority of Singapore with respect to such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 corporate taxpayers, with certain exceptions, are subject to Singapore income tax on income accruing in or derived from Singapore, and on foreign-sourced income received or deemed to be received in 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In addition, three-quarters of up to the first S$10,000 of a company’s annual normal chargeable income, and one-half of up to the next S$190,000, is exempt. The remaining chargeable income (after the tax exemption) will be fully taxable at the prevailing corporate tax rate.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companies will also, subject to certain conditions and exceptions, be eligible for tax exemption on three-quarters of up to the first S$100,000 of a company’s annual normal chargeable income, and one-half of up to the next S$100,000, a year for each of the company’s first three consecutive years of assessment, or YA from YA 2020 onwards. The remaining chargeable income (after the tax exemption) will be taxed at the applicable corporate tax rate.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ordinary shares by U.S. Holders (as defined below) that acquire our ordinary shares and hold our ordinary shares as “capital assets” (generally, property held for investment) under the United States Internal Revenue Code of 1986, as amended, or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with respect to PFIC considerations, 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 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non-corporate U.S. Holder by a “qualified foreign corporation” may be subject to reduced rates of taxation if certain holding period and other requirements are met. A “qualified foreign corporation” may include a foreign corporation (other than a foreign corporation that is a PFIC with respect to the relevant U.S. Holder for the taxable year in which the dividends are paid or for the preceding taxable year) whose ordinary shares are readily tradable on an established securities market in the United States. Our ordinary shares are readily tradable on Nasdaq, an established securities market. U.S. Holders should consult their tax advisors regarding the availability of the reduced tax rate on dividends in light of their particular circumstances. The dividends will not be eligible for the dividends received deduction available to corporations in respect of dividends received from other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non-U.S. currency will be included in the gross income of a U.S. Holder in a USD amount calculated by reference to a spot market exchange rate in effect on the date that the dividends are received by the U.S. Holder, regardless of whether such foreign currency is in fact converted into USD on such date. Such U.S. Holder will have a tax basis for United States federal income tax purposes in the foreign currency received equal to that USD value. If such dividends are converted into USD on the date of receipt, a U.S. Holder generally should not be required to recognize foreign currency gain or loss in respect thereof. If the foreign currency so received is not converted into USD on the date of receipt, such U.S. Holder will have a basis in the foreign currency equal to its USD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USD on a date subsequent to receipt.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a U.S. Holder’s holding period, the tax consequences relating to the receipt of dividends would be materially different. See discussion below under “–Passive Foreign Investment Company Considerations.”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with respect to PFIC considerations, 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USD.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Singapore dollars or another currency other than USD on the disposition of our ordinary shares will realize an amount equal to the USD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USD value of the amount received based on the spot market exchange rates in effect on the date of sale or other disposition and the settlement date. A U.S. Holder will have a tax basis in the currency received equal to the USD value of the currency received on the settlement date. Any gain or loss on a subsequent disposition or conversion of the currency will be United States source ordinary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a U.S. Holder’s holding period, the tax consequences of the sale or other taxable disposition of our ordinary shares would be materially different. See discussions below under “– 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In making this determination, the non-U.S. corporation is treated as earning its proportionate share of any income and owning its proportionate share of any assets of any corporation in which it holds a 25% or greater interest. Based upon our current and expected income and assets Based upon our current and expected income and assets, including goodwill and the value of the assets held by our strategic investment business, we do not presently expect to be classified as a PFIC for the current taxable year and 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our initial public offering. It is also possible that the IRS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pStyle w:val="TextBody"/>
        <w:bidi w:val="0"/>
        <w:spacing w:before="0" w:after="0"/>
        <w:ind w:left="0" w:right="0" w:firstLine="72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excess distribution and/or gain will be allocated ratably over the U.S. Holder’s holding period for the ordinary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the current taxable year and any taxable years in the U.S. Holder’s holding period prior to the first taxable year in which we are a PFIC, each a pre-PFIC year, will be taxable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each prior taxable year, other than a pre-PFIC year, will be subject to tax at the highest tax rate in effect applicable to the U.S. Holder for that year;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charge generally applicable to underpayments of tax will be imposed on the tax attributable to each prior taxable year, other than a pre-PFIC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intend to apply for the listing of our ordinary shares on the Nasdaq, we cannot guarantee that our listing will be approved. Furthermore, we cannot guarantee that, once listed, our ordinary shares will continue to be listed and regularly traded on such exchange. U.S. Holders are advised to consult their tax advisors as to whether the ordinary shares are considered marketable for these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and proceeds paid from the sale or other taxable disposition of ordinary shares may be subject to information reporting to the IRS. In addition, a U.S. Holder (other than exempt holders who establish their exempt status if required) may be subject to backup withholding on cash payments received in connection with dividend payments and proceeds from the sale or other taxable disposition of our ordinary shares made within the United States or through certain U.S.-related financial intermediaries.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will not apply, however, to a U.S.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U.S. Holder’s U.S. federal income tax liability, provided the required information is timely furnished to the IRS. U.S. Holders should consult their tax advisors regarding the application of the U.S. information reporting and backup withholding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Financial Asset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their holdings of certain foreign financial assets, including equity of foreign entities, if the aggregate value of all of these assets exceeds certain threshold amounts. The ordinary shares are expected to constitute foreign financial assets subject to these requirements unless the ordinary shares are held in an account at certain financial institutions. Penalties can apply if U.S. Holders fail to satisfy such reporting requirements. U.S. Holders should consult their tax advisors regarding the application of these reporting requirements.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Dividends and Paying Agents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 Statement by Experts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Documents on Display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with the SEC our registration statement on Form F-1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this annual report on Form 20-F with the SEC under the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read and copy this annual report, including the exhibits incorporated by reference in this annual report, at the SEC’s Public Reference Room at 100 F Street, N.E., Washington, D.C. 20549 and at the SEC’s regional offices in New York, New York and Chicago, Illinois. You also can request copies of this annual report, including the exhibits incorporated by reference in this annual report, upon payment of a duplicating fee, by writing information on the operation of the SEC’s Public Reference Room.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maintains a website at www.sec.gov that contains reports, proxy statements and other information regarding registrants that file electronically with the SEC. Our annual report and some of the other information submitted by us to the SEC may be accessed through this web 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have been prepared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our shareholders with annual reports, which will include a review of operations and annual audited consolidated financial statements prepared in conformity with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Subsidiaries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 Annual Report to Security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1" w:name="sa_006"/>
      <w:bookmarkEnd w:id="51"/>
      <w:r>
        <w:rPr>
          <w:rFonts w:ascii="Times New Roman;Times;Serif" w:hAnsi="Times New Roman;Times;Serif"/>
          <w:b/>
          <w:i w:val="false"/>
          <w:caps w:val="false"/>
          <w:smallCaps w:val="false"/>
          <w:sz w:val="20"/>
        </w:rPr>
        <w:t xml:space="preserve">ITEM 11. QUANTITATIVE AND QUALITATIVE DISCLOSURES ABOUT MARKET RISK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Quantitative and Qualitative Disclosures about Market Risk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and accounts receivable. Cash equivalents are maintained with high credit quality institutions, the composition and maturities of which are regularly monitored by management. As of December 31, 2023, 2024 and 2025, bank and cash balances of approximately S$2.3 million, S$0.7 million and S$10.7 million (US$8.3 million) was maintained at financial institutions in Singapore, of which approximately S$2.3 million, S$0.2 million and S$8.5 million respectively was subject to credit risk. While management believes that these financial institutions are of high credit quality, it also continually monitors their credit worthiness.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accounts receivable, the Company determines, on a continuing basis, the allowance for doubtful accounts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concentration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there was one single customer who accounted approximately for 15.2% of the Company’s revenues. Such substantial revenue contribution by this customer was primarily attributable to the sales of a total of twenty-two units of equipment with a combined value of approximately S$11.6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there was one single customer who accounted approximately for 18.4% of the Company’s revenues. Such substantial revenue contribution by this customer was primarily attributable to the sales of a total of twenty-three units of equipment with a combined value of approximately S$10.8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there was one single customer who accounted approximately for 9.5% of the Company’s revenues. Such substantial revenue contribution by this customer was primarily attributable to the sales of a total of seven units of equipment with a combined value of approximately S$6.9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customer for December 31, 2023, 2024 and 2025 is the same major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no significant interest-bearing assets, the Company’s income and operating cash flows are substantially independent of changes in market interest rates.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December 31, 2023, 2024 and 2025, the term loans were at fixed interest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foreign exchange risk results mainly from cash flows from transactions denominated in foreign currencies. At present, the Company does not have any formal policy for hedging against currency risk. The Company ensures that the net exposure is kept to an acceptable level by buying or selling foreign currencies at spot rates, where necessary, to address short-term imbalances.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transactional currency exposures arising from sales or purchases that are denominated in a currency other than the functional currency of the Company, primarily Chinese Renminbi. The Company’s exposure to Chinese Renminbi is minimal and is not expect to have a material impact.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ensures that it has sufficient cash and bank balances, and liquid assets to meet its expected operational expenses, including servicing for financial obligations and bank borrowings.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 w:name="sa_007"/>
      <w:bookmarkEnd w:id="52"/>
      <w:r>
        <w:rPr>
          <w:rFonts w:ascii="Times New Roman;Times;Serif" w:hAnsi="Times New Roman;Times;Serif"/>
          <w:b/>
          <w:i w:val="false"/>
          <w:caps w:val="false"/>
          <w:smallCaps w:val="false"/>
          <w:sz w:val="20"/>
        </w:rPr>
        <w:t xml:space="preserve">ITEM 12. DESCRIPTION OF SECURITIES OTHER THAN EQUITY SECURITIES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Debt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Warrants and Rights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Other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American Depositary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 w:name="sa_008"/>
      <w:bookmarkEnd w:id="53"/>
      <w:r>
        <w:rPr>
          <w:rFonts w:ascii="Times New Roman;Times;Serif" w:hAnsi="Times New Roman;Times;Serif"/>
          <w:b/>
          <w:i w:val="false"/>
          <w:caps w:val="false"/>
          <w:smallCaps w:val="false"/>
          <w:sz w:val="20"/>
        </w:rPr>
        <w:t xml:space="preserve">PART II.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4" w:name="sa_009"/>
      <w:bookmarkEnd w:id="54"/>
      <w:r>
        <w:rPr>
          <w:rFonts w:ascii="Times New Roman;Times;Serif" w:hAnsi="Times New Roman;Times;Serif"/>
          <w:b/>
          <w:i w:val="false"/>
          <w:caps w:val="false"/>
          <w:smallCaps w:val="false"/>
          <w:sz w:val="20"/>
        </w:rPr>
        <w:t xml:space="preserve">ITEM 13. DEFAULTS, DIVIDEND ARREARAGES AND DELINQUENCIES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5" w:name="sa_010"/>
      <w:bookmarkEnd w:id="55"/>
      <w:r>
        <w:rPr>
          <w:rFonts w:ascii="Times New Roman;Times;Serif" w:hAnsi="Times New Roman;Times;Serif"/>
          <w:b/>
          <w:i w:val="false"/>
          <w:caps w:val="false"/>
          <w:smallCaps w:val="false"/>
          <w:sz w:val="20"/>
        </w:rPr>
        <w:t xml:space="preserve">ITEM 14. MATERIAL MODIFICATIONS TO THE RIGHTS OF SECURITY HOLDERS AND USE OF PROCEEDS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shareholders, which remain unchanged.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14.E.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with respect to the Company’s initial public offering completed on July 8, 2025 (the “IPO”).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IPO, the Company received gross proceeds in the amount of approximately US$6.4 million and net proceeds of approximately US$6.0 million after deducting underwriting discounts and expenses. As of the date of this annual report, we used approximately US$2.4 million of the net proceeds received from the IPO for repayment of bank borrowings, working capital and remaining payments to professional parties in relation to the IPO and ongoing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balance of the proceeds of approximately US$3.6 million from our initial public offering as disclosed in our registration statements on Form F-1 will be used subsequent to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net proceeds from our initial public offering and the optional offering was paid, directly or indirectly, to any of our directors or officers or their associates, persons owning 10% or more of our equity securities or our affiliates or others.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6" w:name="sa_011"/>
      <w:bookmarkEnd w:id="56"/>
      <w:r>
        <w:rPr>
          <w:rFonts w:ascii="Times New Roman;Times;Serif" w:hAnsi="Times New Roman;Times;Serif"/>
          <w:b/>
          <w:i w:val="false"/>
          <w:caps w:val="false"/>
          <w:smallCaps w:val="false"/>
          <w:sz w:val="20"/>
        </w:rPr>
        <w:t xml:space="preserve">ITEM 15.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include controls and procedures designed to provide reasonable assurance that information required to be disclosed in reports filed or submitted under the Exchange Act is recorded, processed, summarized and reported within the specified time periods and accumulated and communicated to our management, including our Chief Executive Officer and Chief Financial Officer, as appropriate, to allow timely decisions regarding required disclosure. Our management, under the supervision and with the participation of our Chief Executive Officer and our Chief Financial Officer, with the Audit Committee oversight and in consultation with external consulting firms, evaluated the effectiveness of our disclosure controls and procedures, as defined in Rules 13a-15(e) or 15d-15(e) promulgated under the Exchange Act,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 13a-15(f) or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management, including the Chief Executive Officer and Chief Financial Officer, with the Audit Committee oversight and in consultation with external consulting firms, the company conducted an evaluation of the effectiveness of the company’s internal control over financial reporting as of December 31, 2025 using its internal standard operating procedures (“SOP”). Based on this assessment, our management has concluded that, as of December 31, 2025, our internal control over financial reporting was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a_012"/>
      <w:bookmarkEnd w:id="57"/>
      <w:r>
        <w:rPr>
          <w:rFonts w:ascii="Times New Roman;Times;Serif" w:hAnsi="Times New Roman;Times;Serif"/>
          <w:b/>
          <w:i w:val="false"/>
          <w:caps w:val="false"/>
          <w:smallCaps w:val="false"/>
          <w:sz w:val="20"/>
        </w:rPr>
        <w:t xml:space="preserve">ITEM 16. [RESERVED]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8" w:name="sa_013"/>
      <w:bookmarkEnd w:id="58"/>
      <w:r>
        <w:rPr>
          <w:rFonts w:ascii="Times New Roman;Times;Serif" w:hAnsi="Times New Roman;Times;Serif"/>
          <w:b/>
          <w:i w:val="false"/>
          <w:caps w:val="false"/>
          <w:smallCaps w:val="false"/>
          <w:sz w:val="20"/>
        </w:rPr>
        <w:t xml:space="preserve">ITEM 16A. AUDIT COMMITTEE FINANCIAL EXPERT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Mr. Kong Chee Keong, Mr. Jeffrey Ong Shen Chieh and Mr. Cheam Heng Haw, and is chaired by Mr. Kong Chee Keong. Our board of directors has determined that Mr. Kong Chee Keong, Mr. Jeffrey Ong Shen Chieh and Mr. Cheam Heng Haw each and all satisfy the “independence” requirements of Rule 10A-3 under the Exchange Act, and Nasdaq Marketplace Rule 5605(a)(2). Our audit committee consists solely of independent directors that satisfy the Nasdaq and SEC requirements within one year of the completion of the initial public offering. We have determined that Mr. Kong Chee Keong qualifies as an “audit committee financial expert.”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 w:name="sa_014"/>
      <w:bookmarkEnd w:id="59"/>
      <w:r>
        <w:rPr>
          <w:rFonts w:ascii="Times New Roman;Times;Serif" w:hAnsi="Times New Roman;Times;Serif"/>
          <w:b/>
          <w:i w:val="false"/>
          <w:caps w:val="false"/>
          <w:smallCaps w:val="false"/>
          <w:sz w:val="20"/>
        </w:rPr>
        <w:t xml:space="preserve">ITEM 16B. CODE OF ETHICS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a code of business conducts and ethics, which is applicable to all of our directors, officers, employees and advisors. Our code of ethics and our code of conduct are publicly available on our website, </w:t>
      </w:r>
      <w:r>
        <w:rPr>
          <w:rFonts w:ascii="Times New Roman;Times;Serif" w:hAnsi="Times New Roman;Times;Serif"/>
          <w:b w:val="false"/>
          <w:i/>
          <w:caps w:val="false"/>
          <w:smallCaps w:val="false"/>
          <w:sz w:val="20"/>
        </w:rPr>
        <w:t xml:space="preserve">www.ir.ten-league.com.sg. </w:t>
      </w:r>
      <w:r>
        <w:rPr>
          <w:rFonts w:ascii="Times New Roman;Times;Serif" w:hAnsi="Times New Roman;Times;Serif"/>
          <w:b w:val="false"/>
          <w:i w:val="false"/>
          <w:caps w:val="false"/>
          <w:smallCaps w:val="false"/>
          <w:sz w:val="20"/>
        </w:rPr>
        <w:t>Information contained on, or that can be accessed through, our website does not constitute a part of this annual report and is not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0" w:name="sa_015"/>
      <w:bookmarkEnd w:id="60"/>
      <w:r>
        <w:rPr>
          <w:rFonts w:ascii="Times New Roman;Times;Serif" w:hAnsi="Times New Roman;Times;Serif"/>
          <w:b/>
          <w:i w:val="false"/>
          <w:caps w:val="false"/>
          <w:smallCaps w:val="false"/>
          <w:sz w:val="20"/>
        </w:rPr>
        <w:t xml:space="preserve">ITEM 16C. PRINCIPAL ACCOUNTANT FEE AND SERVICES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our principal accountant for the periods presented.</w:t>
      </w:r>
    </w:p>
    <w:p>
      <w:pPr>
        <w:pStyle w:val="TextBody"/>
        <w:bidi w:val="0"/>
        <w:spacing w:before="0" w:after="0"/>
        <w:ind w:left="0" w:right="0" w:firstLine="36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2690"/>
        <w:gridCol w:w="60"/>
        <w:gridCol w:w="173"/>
        <w:gridCol w:w="466"/>
        <w:gridCol w:w="83"/>
        <w:gridCol w:w="83"/>
        <w:gridCol w:w="173"/>
        <w:gridCol w:w="466"/>
        <w:gridCol w:w="83"/>
        <w:gridCol w:w="83"/>
        <w:gridCol w:w="173"/>
        <w:gridCol w:w="466"/>
        <w:gridCol w:w="75"/>
      </w:tblGrid>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“Audit fees” represents the aggregate fees billed for each of the fiscal years listed for professional services rendered by our principal accounting firm for the audit of our annual financial statements or services that are normally provided by the auditors in connection with statutory and regulatory filings or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the oversight of our independent accountants’ work. The policy of our audit committee is to pre-approve all audit and non-audit services provided by our principal accountant, including audit services, audit-related services, tax services and other services, as described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1" w:name="sa_016"/>
      <w:bookmarkEnd w:id="61"/>
      <w:r>
        <w:rPr>
          <w:rFonts w:ascii="Times New Roman;Times;Serif" w:hAnsi="Times New Roman;Times;Serif"/>
          <w:b/>
          <w:i w:val="false"/>
          <w:caps w:val="false"/>
          <w:smallCaps w:val="false"/>
          <w:sz w:val="20"/>
        </w:rPr>
        <w:t xml:space="preserve">ITEM 16D. EXEMPTIONS FROM THE LISTING STANDARDS FOR AUDIT COMMITTEES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 w:name="sa_017"/>
      <w:bookmarkEnd w:id="62"/>
      <w:r>
        <w:rPr>
          <w:rFonts w:ascii="Times New Roman;Times;Serif" w:hAnsi="Times New Roman;Times;Serif"/>
          <w:b/>
          <w:i w:val="false"/>
          <w:caps w:val="false"/>
          <w:smallCaps w:val="false"/>
          <w:sz w:val="20"/>
        </w:rPr>
        <w:t xml:space="preserve">ITEM 16E. PURCHASES OF EQUITY SECURITIES BY THE ISSUER AND AFFILIATED PURCHASERS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 w:name="sa_018"/>
      <w:bookmarkEnd w:id="63"/>
      <w:r>
        <w:rPr>
          <w:rFonts w:ascii="Times New Roman;Times;Serif" w:hAnsi="Times New Roman;Times;Serif"/>
          <w:b/>
          <w:i w:val="false"/>
          <w:caps w:val="false"/>
          <w:smallCaps w:val="false"/>
          <w:sz w:val="20"/>
        </w:rPr>
        <w:t xml:space="preserve">ITEM 16F. CHANGE IN REGISTRANT’S CERTIFYING ACCOUNTANT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4" w:name="sa_019"/>
      <w:bookmarkEnd w:id="64"/>
      <w:r>
        <w:rPr>
          <w:rFonts w:ascii="Times New Roman;Times;Serif" w:hAnsi="Times New Roman;Times;Serif"/>
          <w:b/>
          <w:i w:val="false"/>
          <w:caps w:val="false"/>
          <w:smallCaps w:val="false"/>
          <w:sz w:val="20"/>
        </w:rPr>
        <w:t xml:space="preserve">ITEM 16G. CORPORATE GOVERNANCE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with shares to be listed on Nasdaq, we are subject to the Nasdaq listing standards. However, the Nasdaq rules permit a foreign private issuer like us to follow the corporate governance practices of its home country. Certain corporate governance practices in the Cayman Islands, which is our home country, may differ significantly from the Nasdaq listing standards,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that listed companies must have for as long as we qualify as a foreign private issuer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non-management directors to meet on a regular basis without management present;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 annual general meeting of shareholders;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shareholder approval for the implementation of certain equity compensation plans and dilutive issuances of ordinary shares, such as transactions, other than a public offering, involving the sale of 20% or more of our ordinary shares for less than the greater of book or market value of the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Nasdaq corporate governance standards applicable to U.S. domestic issuers.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5" w:name="sa_020"/>
      <w:bookmarkEnd w:id="65"/>
      <w:r>
        <w:rPr>
          <w:rFonts w:ascii="Times New Roman;Times;Serif" w:hAnsi="Times New Roman;Times;Serif"/>
          <w:b/>
          <w:i w:val="false"/>
          <w:caps w:val="false"/>
          <w:smallCaps w:val="false"/>
          <w:sz w:val="20"/>
        </w:rPr>
        <w:t xml:space="preserve">ITEM 16H. MINE SAFETY DISCLOSURE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 w:name="sa_021"/>
      <w:bookmarkEnd w:id="66"/>
      <w:r>
        <w:rPr>
          <w:rFonts w:ascii="Times New Roman;Times;Serif" w:hAnsi="Times New Roman;Times;Serif"/>
          <w:b/>
          <w:i w:val="false"/>
          <w:caps w:val="false"/>
          <w:smallCaps w:val="false"/>
          <w:sz w:val="20"/>
        </w:rPr>
        <w:t xml:space="preserve">ITEM 16I. DISCLOSURE REGARDING FOREIGN JURISDICTIONS THAT PREVENT INSPECTIONS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 w:name="sa_022"/>
      <w:bookmarkEnd w:id="67"/>
      <w:r>
        <w:rPr>
          <w:rFonts w:ascii="Times New Roman;Times;Serif" w:hAnsi="Times New Roman;Times;Serif"/>
          <w:b/>
          <w:i w:val="false"/>
          <w:caps w:val="false"/>
          <w:smallCaps w:val="false"/>
          <w:sz w:val="20"/>
        </w:rPr>
        <w:t>ITEM 16J. INSIDER TRADING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68" w:name="xdx_90A_eecd--InsiderTrdPoliciesProcAdop"/>
      <w:bookmarkEnd w:id="68"/>
      <w:r>
        <w:rPr>
          <w:rFonts w:ascii="Times New Roman;Times;Serif" w:hAnsi="Times New Roman;Times;Serif"/>
          <w:b w:val="false"/>
          <w:i w:val="false"/>
          <w:caps w:val="false"/>
          <w:smallCaps w:val="false"/>
          <w:sz w:val="20"/>
        </w:rPr>
        <w:t>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16.1 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 w:name="sa_023"/>
      <w:bookmarkEnd w:id="69"/>
      <w:r>
        <w:rPr>
          <w:rFonts w:ascii="Times New Roman;Times;Serif" w:hAnsi="Times New Roman;Times;Serif"/>
          <w:b/>
          <w:i w:val="false"/>
          <w:caps w:val="false"/>
          <w:smallCaps w:val="false"/>
          <w:sz w:val="20"/>
        </w:rPr>
        <w:t xml:space="preserve">ITEM 16K. CYBERSECURITY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0" w:name="xdx_98C_ecyd--CybersecurityRiskManagemen"/>
      <w:bookmarkEnd w:id="70"/>
      <w:r>
        <w:rPr>
          <w:rFonts w:ascii="Times New Roman;Times;Serif" w:hAnsi="Times New Roman;Times;Serif"/>
          <w:b w:val="false"/>
          <w:i w:val="false"/>
          <w:caps w:val="false"/>
          <w:smallCaps w:val="false"/>
          <w:sz w:val="20"/>
        </w:rPr>
        <w:t>We employ various procedures designed to identify, protect, detect and respond to and manage reasonably foreseeable cybersecurity risks and threats. These include, but are not limited to, internal reporting, monitoring and detection tools and anti-virus software. We also periodically assess risks from cybersecurity and technology threats and monitor our information systems for potential vulnerabilities, including those that could arise from internal sources and external sources such as third-party service providers we do business with.</w:t>
      </w:r>
    </w:p>
    <w:p>
      <w:pPr>
        <w:pStyle w:val="TextBody"/>
        <w:bidi w:val="0"/>
        <w:spacing w:before="0" w:after="0"/>
        <w:ind w:left="0" w:right="0" w:firstLine="720"/>
        <w:jc w:val="both"/>
        <w:rPr>
          <w:caps w:val="false"/>
          <w:smallCaps w:val="false"/>
        </w:rPr>
      </w:pPr>
      <w:bookmarkStart w:id="71" w:name="xdx_C03_gBFCRMPFAIAMT-WYE_z4JTmTWJrn24"/>
      <w:bookmarkEnd w:id="7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date, we have </w:t>
      </w:r>
      <w:bookmarkStart w:id="72" w:name="xdx_905_ecyd--CybersecurityRiskMateriall"/>
      <w:bookmarkEnd w:id="72"/>
      <w:r>
        <w:rPr>
          <w:rFonts w:ascii="Times New Roman;Times;Serif" w:hAnsi="Times New Roman;Times;Serif"/>
          <w:b w:val="false"/>
          <w:i w:val="false"/>
          <w:caps w:val="false"/>
          <w:smallCaps w:val="false"/>
          <w:sz w:val="20"/>
        </w:rPr>
        <w:t>not experienced any cybersecurity attacks, any such attack could adversely affect our business. Further, a penetration of our systems or a third-party’s systems or other misappropriation or misuse of personal information could subject us to business, regulatory, litigation and reputation risk, which could have a negative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 w:name="xdx_906_ecyd--CybersecurityRiskBoardOfDi"/>
      <w:bookmarkEnd w:id="73"/>
      <w:r>
        <w:rPr>
          <w:rFonts w:ascii="Times New Roman;Times;Serif" w:hAnsi="Times New Roman;Times;Serif"/>
          <w:b w:val="false"/>
          <w:i w:val="false"/>
          <w:caps w:val="false"/>
          <w:smallCaps w:val="false"/>
          <w:sz w:val="20"/>
        </w:rPr>
        <w:t>Our vice president is the responsible personnel involved in, and ultimately responsible for, cybersecurity oversight. She oversees our cybersecurity risk and receives regular reports from our management team on various potential cybersecurity matters, including areas of emerging risks, incidents and industry trends, and other areas of importance.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4" w:name="xdx_987_ecyd--CybersecurityRiskManagemen"/>
      <w:bookmarkEnd w:id="74"/>
      <w:r>
        <w:rPr>
          <w:rFonts w:ascii="Times New Roman;Times;Serif" w:hAnsi="Times New Roman;Times;Serif"/>
          <w:b w:val="false"/>
          <w:i w:val="false"/>
          <w:caps w:val="false"/>
          <w:smallCaps w:val="false"/>
          <w:sz w:val="20"/>
        </w:rPr>
        <w:t xml:space="preserve">We have </w:t>
      </w:r>
      <w:bookmarkStart w:id="75" w:name="xdx_908_ecyd--CybersecurityRiskManagemen"/>
      <w:bookmarkEnd w:id="75"/>
      <w:r>
        <w:rPr>
          <w:rFonts w:ascii="Times New Roman;Times;Serif" w:hAnsi="Times New Roman;Times;Serif"/>
          <w:b w:val="false"/>
          <w:i w:val="false"/>
          <w:caps w:val="false"/>
          <w:smallCaps w:val="false"/>
          <w:sz w:val="20"/>
        </w:rPr>
        <w:t>adopted a cybersecurity policy governing the establishment and application of certain procedures and safeguards to identify potential cybersecurity risks and, in the event of a cybersecurity breach, the protocol for disclosing to the SEC, including possible remedies. We review cybersecurity risk as part of our overall risk-management system. This ensures that cybersecurity risk management remains a meaningful priority in our business strategy and operations. Our risk management strategy for cybersecurity generally includes: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We aim to proactively identify the manners in which our business could be materially impacted by cybersecurity risks including:</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 – an unauthorized occurrence, or a series of related unauthorized occurrences, on or conducted through our information system that jeopardizes the confidentiality, integrity, or availability of our information systems or any information residing therein; and</w:t>
            </w:r>
          </w:p>
        </w:tc>
      </w:tr>
    </w:tbl>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Threat – any potential unauthorized occurrence on or conducted through our information systems that may result in adverse effects on the confidentiality, integrity, or availability of our information systems or any information residing therein.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We periodically assess our risks relating to cybersecurity threats, including risks relating to our reliance on third parties. In so doing, we consider the likelihood and impact that could result from the manifesting of such risks, together with the sufficiency of existing policies, procedures, systems, and safeguards in place to manage such risks, together with the sufficiency of existing policies, procedures, systems, and safeguards in place to manage such risks, including evaluating and if available obtaining cyber liability insurance, and aligning such cyber-risk management policies with the our business needs by integrating cyber-risk analysis into significant business decisions.</w:t>
            </w:r>
          </w:p>
        </w:tc>
      </w:tr>
    </w:tbl>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If deemed appropriate, we design and implement reasonable safeguards to address any identified gaps in our existing processes and procedures</w:t>
            </w:r>
            <w:r>
              <w:rPr>
                <w:rFonts w:ascii="Times New Roman;Times;Serif" w:hAnsi="Times New Roman;Times;Serif"/>
                <w:b/>
                <w:i/>
                <w:caps w:val="false"/>
                <w:smallCaps w:val="false"/>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If a cybersecurity breach occurs, our associate director of business strategy and innovation technology department will determine whether the cybersecurity incident or cybersecurity threat is “material” (.i.e. is there a substantial likelihood that a reasonable shareholder would consider it important in making an investment decision or if it would have significantly altered the “total mix” of information made available?), assessing among other factors potential or actual financial impacts, reputational damage, and operational disruptions.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 </w:t>
            </w:r>
            <w:bookmarkStart w:id="76" w:name="xdx_90E_ecyd--CybersecurityRiskProcessFo"/>
            <w:bookmarkEnd w:id="76"/>
            <w:r>
              <w:rPr>
                <w:rFonts w:ascii="Times New Roman;Times;Serif" w:hAnsi="Times New Roman;Times;Serif"/>
                <w:b w:val="false"/>
                <w:i w:val="false"/>
                <w:caps w:val="false"/>
                <w:smallCaps w:val="false"/>
                <w:sz w:val="20"/>
              </w:rPr>
              <w:t>Establish and monitor an incident response approach requiring our chief financial officer to report to us, the full board of directors and legal counsel any cybersecurity concerns or events.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To ensure compliance with SEC requirements and maintain overall stakeholder confidence in us, all material and known facts regarding the cybersecurity breach will be recorded, including their nature, scope, and financial implications; and a Form 6-K will be prepared and filed within four (4) business days after the determination that a “material” cybersecurity incident has occurred.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do not engage third parties to assist with evaluating the effectiveness of our risk-management and cybersecurity practices.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77" w:name="xdx_C0E_gBFCRMPFAIAMT-WYE_zpCaOg6ns9n1"/>
      <w:bookmarkEnd w:id="77"/>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8" w:name="sa_024"/>
      <w:bookmarkEnd w:id="78"/>
      <w:r>
        <w:rPr>
          <w:rFonts w:ascii="Times New Roman;Times;Serif" w:hAnsi="Times New Roman;Times;Serif"/>
          <w:b/>
          <w:i w:val="false"/>
          <w:caps w:val="false"/>
          <w:smallCaps w:val="false"/>
          <w:sz w:val="20"/>
        </w:rPr>
        <w:t xml:space="preserve">PART III.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9" w:name="sa_025"/>
      <w:bookmarkEnd w:id="79"/>
      <w:r>
        <w:rPr>
          <w:rFonts w:ascii="Times New Roman;Times;Serif" w:hAnsi="Times New Roman;Times;Serif"/>
          <w:b/>
          <w:i w:val="false"/>
          <w:caps w:val="false"/>
          <w:smallCaps w:val="false"/>
          <w:sz w:val="20"/>
        </w:rPr>
        <w:t xml:space="preserve">ITEM 17.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0" w:name="sa_026"/>
      <w:bookmarkEnd w:id="80"/>
      <w:r>
        <w:rPr>
          <w:rFonts w:ascii="Times New Roman;Times;Serif" w:hAnsi="Times New Roman;Times;Serif"/>
          <w:b/>
          <w:i w:val="false"/>
          <w:caps w:val="false"/>
          <w:smallCaps w:val="false"/>
          <w:sz w:val="20"/>
        </w:rPr>
        <w:t xml:space="preserve">ITEM 18.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included at the end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1" w:name="sa_027"/>
      <w:bookmarkEnd w:id="81"/>
      <w:r>
        <w:rPr>
          <w:rFonts w:ascii="Times New Roman;Times;Serif" w:hAnsi="Times New Roman;Times;Serif"/>
          <w:b/>
          <w:i w:val="false"/>
          <w:caps w:val="false"/>
          <w:smallCaps w:val="false"/>
          <w:sz w:val="20"/>
        </w:rPr>
        <w:t xml:space="preserve">ITEM 19. EXHIBITS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Index to Exhibits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Second Amended and Restated Memorandum and Articles of Association of the Registrant, as currently in effect (incorporated by reference to Exhibit 3.2 to our registration statement on Form F-1/A (File No. 333-275240) filed with the SEC on October 18, 2024)</w:t>
              </w:r>
            </w:hyperlink>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Registrant’s Specimen Certificate for Class A ordinary shares (incorporated by reference to Exhibit 4.1 to our registration statement on Form F-1/A (File No. 333-275240) filed with the SEC on February 23, 2024)</w:t>
              </w:r>
            </w:hyperlink>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Director Offer Letter (incorporated by reference to Exhibit 10.1 to our registration statement on Form F-1/A (File No. 333-275240) filed with the SEC on November 17, 2023)</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Indemnification Agreement between the Registrant and its directors (incorporated by reference to Exhibit 10.2 to our registration statement on Form F-1/A (File No. 333-275240) filed with the SEC on December 26,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Service Dealer Agreement with effect from January 1, 2021 between Ten-League Engineering &amp; Technology Pte. Ltd. and Sany International Development Ltd. (incorporated by reference to Exhibit 10.6 to our registration statement on Form F-1 (File No. 333-275240) filed with the SEC on November 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Service Dealer Agreement with effect from January 1, 2021 between Ten-League Engineering &amp; Technology Pte. Ltd. and Sany International Development Ltd. (incorporated by reference to Exhibit 10.7 to our registration statement on Form F-1 (File No. 333-275240) filed with the SEC on June 12,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List of Subsidiaries of the Registrant (incorporated by reference to Exhibit 21.1 to our registration statement on Form F-1 (File No. 333-275240) filed with the SEC on November 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Code of Conduct (incorporated by reference to Exhibit 14.1 to our registration statement on Form F-1 (File No. 333-275240) filed with the SEC on June 12, 2024)</w:t>
              </w:r>
            </w:hyperlink>
          </w:p>
        </w:tc>
      </w:tr>
    </w:tbl>
    <w:p>
      <w:pPr>
        <w:pStyle w:val="TextBody"/>
        <w:bidi w:val="0"/>
        <w:spacing w:before="0" w:after="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890"/>
        <w:gridCol w:w="60"/>
        <w:gridCol w:w="8450"/>
      </w:tblGrid>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by the Chief Executive Officer Pursuant to Section 302 of the Sarbanes-Oxley Act of 2002</w:t>
              </w:r>
            </w:hyperlink>
            <w:r>
              <w:rPr>
                <w:rFonts w:ascii="Times New Roman;Times;Serif" w:hAnsi="Times New Roman;Times;Serif"/>
                <w:b w:val="false"/>
                <w:i w:val="false"/>
                <w:caps w:val="false"/>
                <w:smallCaps w:val="false"/>
                <w:sz w:val="20"/>
              </w:rPr>
              <w:t xml:space="preserve">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by the Chief Financial Officer Pursuant to Section 302 of the Sarbanes-Oxley Act of 2002</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by the Chief Executive Officer Pursuant to Section 906 of the Sarbanes-Oxley Act of 2002</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Certification by the Chief Financial Officer Pursuant to Section 906 of the Sarbanes-Oxley Act of 2002</w:t>
              </w:r>
            </w:hyperlink>
            <w:r>
              <w:rPr>
                <w:rFonts w:ascii="Times New Roman;Times;Serif" w:hAnsi="Times New Roman;Times;Serif"/>
                <w:b w:val="false"/>
                <w:i w:val="false"/>
                <w:caps w:val="false"/>
                <w:smallCaps w:val="false"/>
                <w:sz w:val="20"/>
              </w:rPr>
              <w:t xml:space="preserve">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16-1.htm">
              <w:r>
                <w:rPr>
                  <w:rStyle w:val="InternetLink"/>
                  <w:rFonts w:ascii="Times New Roman;Times;Serif" w:hAnsi="Times New Roman;Times;Serif"/>
                  <w:b w:val="false"/>
                  <w:i w:val="false"/>
                  <w:caps w:val="false"/>
                  <w:smallCaps w:val="false"/>
                  <w:sz w:val="20"/>
                </w:rPr>
                <w:t>Insider Trading Policy</w:t>
              </w:r>
            </w:hyperlink>
            <w:r>
              <w:rPr>
                <w:rFonts w:ascii="Times New Roman;Times;Serif" w:hAnsi="Times New Roman;Times;Serif"/>
                <w:b w:val="false"/>
                <w:i w:val="false"/>
                <w:caps w:val="false"/>
                <w:smallCaps w:val="false"/>
                <w:sz w:val="20"/>
              </w:rPr>
              <w:t xml:space="preserve">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Clawback Policy</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489" w:right="0" w:hanging="49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40"/>
        <w:gridCol w:w="35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with this annual report on Form 20-F.</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with this annual report on Form 20-F.</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 w:name="sa_028"/>
      <w:bookmarkEnd w:id="82"/>
      <w:r>
        <w:rPr>
          <w:rFonts w:ascii="Times New Roman;Times;Serif" w:hAnsi="Times New Roman;Times;Serif"/>
          <w:b/>
          <w:i w:val="false"/>
          <w:caps w:val="false"/>
          <w:smallCaps w:val="false"/>
          <w:sz w:val="20"/>
        </w:rPr>
        <w:t xml:space="preserve">SIGNATURE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jc w:val="center"/>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700"/>
        <w:gridCol w:w="545"/>
        <w:gridCol w:w="3890"/>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Ten-League International Holdings Limited</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Jison Lim</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Jison Lim</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INDEX TO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d_001">
              <w:r>
                <w:rPr>
                  <w:rStyle w:val="InternetLink"/>
                  <w:rFonts w:ascii="Times New Roman;Times;Serif" w:hAnsi="Times New Roman;Times;Serif"/>
                  <w:b w:val="false"/>
                  <w:i w:val="false"/>
                  <w:caps w:val="false"/>
                  <w:smallCaps w:val="false"/>
                  <w:sz w:val="20"/>
                </w:rPr>
                <w:t>Report of Independent Registered Public Accounting Firm for the Financial Year ended December 31, 2024</w:t>
              </w:r>
            </w:hyperlink>
            <w:r>
              <w:rPr>
                <w:rFonts w:ascii="Times New Roman;Times;Serif" w:hAnsi="Times New Roman;Times;Serif"/>
                <w:b w:val="false"/>
                <w:i w:val="false"/>
                <w:caps w:val="false"/>
                <w:smallCaps w:val="false"/>
                <w:sz w:val="20"/>
              </w:rPr>
              <w:t xml:space="preserve"> (PCAOB ID: </w:t>
            </w:r>
            <w:bookmarkStart w:id="83" w:name="xdx_90F_edei--AuditorFirmId_c20240101__2"/>
            <w:bookmarkEnd w:id="83"/>
            <w:r>
              <w:rPr>
                <w:rFonts w:ascii="Times New Roman;Times;Serif" w:hAnsi="Times New Roman;Times;Serif"/>
                <w:b w:val="false"/>
                <w:i w:val="false"/>
                <w:caps w:val="false"/>
                <w:smallCaps w:val="false"/>
                <w:sz w:val="20"/>
              </w:rPr>
              <w:t>6732)</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ggg_001">
              <w:r>
                <w:rPr>
                  <w:rStyle w:val="InternetLink"/>
                  <w:rFonts w:ascii="Times New Roman;Times;Serif" w:hAnsi="Times New Roman;Times;Serif"/>
                  <w:b w:val="false"/>
                  <w:i w:val="false"/>
                  <w:caps w:val="false"/>
                  <w:smallCaps w:val="false"/>
                  <w:sz w:val="20"/>
                </w:rPr>
                <w:t xml:space="preserve">Report of Independent Registered Public Accounting Firm for the Financial Year ended December 31, 2025 (PCAOB ID: </w:t>
              </w:r>
            </w:hyperlink>
            <w:hyperlink w:anchor="ggg_001">
              <w:bookmarkStart w:id="84" w:name="xdx_907_edei--AuditorFirmId_c20250101__2"/>
              <w:bookmarkEnd w:id="84"/>
              <w:r>
                <w:rPr>
                  <w:rStyle w:val="InternetLink"/>
                  <w:rFonts w:ascii="Times New Roman;Times;Serif" w:hAnsi="Times New Roman;Times;Serif"/>
                  <w:b w:val="false"/>
                  <w:i w:val="false"/>
                  <w:caps w:val="false"/>
                  <w:smallCaps w:val="false"/>
                  <w:sz w:val="20"/>
                </w:rPr>
                <w:t>6967)</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Consolidated Statements of Operations and Comprehensive Income for the Financial Years Ended December 31, 2023, 2024 and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Consolidated Statements of Stockholders’ Equity for the Financial Years Ended December 31, 2023, 2024 and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Consolidated Statements of Cash Flows for the Financial Years Ended December 31, 2023, 2024 and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Notes to Consolidated 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5" w:name="sd_001"/>
      <w:bookmarkEnd w:id="8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TEN-LEAGUE INTERNATIONAL HOLDINGS LIMITED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Ten-League International Holdings Limited and subsidiaries (collectively referred to as the “Company”) as of December 31, 2024, the related consolidated statements of operations and comprehensive income, changes in shareholders’ equity and cash flows for each of the two years ended December 31, 2024 and the related notes (collectively referred to as the “financial statements”). In our opinion, the financial statements present fairly, in all material respects, the financial position of the Company as of December 31, 2024, and the results of its operations, changes in shareholders’ equity and its cash flows for each of the two years in the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6" w:name="xdx_900_edei--AuditorName_c20240101__202"/>
      <w:bookmarkEnd w:id="86"/>
      <w:r>
        <w:rPr>
          <w:rFonts w:ascii="Times New Roman;Times;Serif" w:hAnsi="Times New Roman;Times;Serif"/>
          <w:b w:val="false"/>
          <w:i w:val="false"/>
          <w:caps w:val="false"/>
          <w:smallCaps w:val="false"/>
          <w:sz w:val="20"/>
        </w:rPr>
        <w:t>Onestop Assurance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Onestop Assurance PAC (PCAOB: </w:t>
      </w:r>
      <w:bookmarkStart w:id="87" w:name="xdx_90B_edei--AuditorFirmId_c20240101__2"/>
      <w:bookmarkEnd w:id="87"/>
      <w:r>
        <w:rPr>
          <w:rFonts w:ascii="Times New Roman;Times;Serif" w:hAnsi="Times New Roman;Times;Serif"/>
          <w:b w:val="false"/>
          <w:i w:val="false"/>
          <w:caps w:val="false"/>
          <w:smallCaps w:val="false"/>
          <w:sz w:val="20"/>
        </w:rPr>
        <w:t>6732)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November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 w:name="xdx_907_edei--AuditorLocation_c20240101_"/>
      <w:bookmarkEnd w:id="88"/>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Onestop Assurance PAC (PCAOB: 6732)</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143750"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7143750" cy="990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9" w:name="ggg_001"/>
      <w:bookmarkEnd w:id="89"/>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Shareholders of Ten-League International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Limited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90" w:name="xdx_90B_edei--AuditorOpinionTextBlock_c2"/>
      <w:bookmarkEnd w:id="90"/>
      <w:r>
        <w:rPr>
          <w:rFonts w:ascii="Times New Roman;Times;Serif" w:hAnsi="Times New Roman;Times;Serif"/>
          <w:b w:val="false"/>
          <w:i w:val="false"/>
          <w:caps w:val="false"/>
          <w:smallCaps w:val="false"/>
          <w:sz w:val="20"/>
        </w:rPr>
        <w:t>We have audited the accompanying consolidated balance sheet of Ten-League International Holdings Limited and its subsidiaries (the Company) as of December 31, 2025, and the related consolidated statement of operations and comprehensive income, changes in shareholders’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4160"/>
        <w:gridCol w:w="254"/>
      </w:tblGrid>
      <w:tr>
        <w:trPr/>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91" w:name="xdx_903_edei--AuditorName_c20250101__202"/>
            <w:bookmarkEnd w:id="91"/>
            <w:r>
              <w:rPr>
                <w:rFonts w:ascii="Times New Roman;Times;Serif" w:hAnsi="Times New Roman;Times;Serif"/>
                <w:b w:val="false"/>
                <w:i w:val="false"/>
                <w:caps w:val="false"/>
                <w:smallCaps w:val="false"/>
                <w:sz w:val="20"/>
              </w:rPr>
              <w:t>CT International LLP</w:t>
            </w:r>
          </w:p>
        </w:tc>
      </w:tr>
      <w:tr>
        <w:trPr/>
        <w:tc>
          <w:tcPr>
            <w:tcW w:w="4160" w:type="dxa"/>
            <w:tcBorders/>
            <w:vAlign w:val="center"/>
          </w:tcPr>
          <w:p>
            <w:pPr>
              <w:pStyle w:val="TableContents"/>
              <w:bidi w:val="0"/>
              <w:spacing w:before="0" w:after="283"/>
              <w:jc w:val="left"/>
              <w:rPr>
                <w:caps w:val="false"/>
                <w:smallCaps w:val="false"/>
              </w:rPr>
            </w:pPr>
            <w:r>
              <w:rPr>
                <w:caps w:val="false"/>
                <w:smallCaps w:val="false"/>
              </w:rPr>
              <w:t> </w:t>
            </w:r>
          </w:p>
        </w:tc>
        <w:tc>
          <w:tcPr>
            <w:tcW w:w="2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ableContents"/>
              <w:bidi w:val="0"/>
              <w:spacing w:before="0" w:after="283"/>
              <w:jc w:val="left"/>
              <w:rPr>
                <w:caps w:val="false"/>
                <w:smallCaps w:val="false"/>
              </w:rPr>
            </w:pPr>
            <w:r>
              <w:rPr>
                <w:caps w:val="false"/>
                <w:smallCaps w:val="false"/>
              </w:rPr>
              <w:t> </w:t>
            </w:r>
          </w:p>
        </w:tc>
      </w:tr>
      <w:tr>
        <w:trPr/>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2" w:name="xdx_909_edei--AuditorLocation_c20250101_"/>
            <w:bookmarkEnd w:id="92"/>
            <w:r>
              <w:rPr>
                <w:rFonts w:ascii="Times New Roman;Times;Serif" w:hAnsi="Times New Roman;Times;Serif"/>
                <w:b w:val="false"/>
                <w:i w:val="false"/>
                <w:caps w:val="false"/>
                <w:smallCaps w:val="false"/>
                <w:sz w:val="20"/>
              </w:rPr>
              <w:t xml:space="preserve">San Francisco, California </w:t>
            </w:r>
          </w:p>
        </w:tc>
      </w:tr>
      <w:tr>
        <w:trPr/>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c>
          <w:tcPr>
            <w:tcW w:w="25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sp_001"/>
      <w:bookmarkEnd w:id="93"/>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4" w:name="xdx_30B_111_pn3n3_z7TKR5EMBJw9"/>
      <w:bookmarkStart w:id="95" w:name="xdx_30B_111_pn3n3_z7TKR5EMBJw9"/>
      <w:bookmarkEnd w:id="95"/>
    </w:p>
    <w:tbl>
      <w:tblPr>
        <w:tblW w:w="10205" w:type="dxa"/>
        <w:jc w:val="left"/>
        <w:tblInd w:w="0" w:type="dxa"/>
        <w:tblLayout w:type="fixed"/>
        <w:tblCellMar>
          <w:top w:w="0" w:type="dxa"/>
          <w:left w:w="0" w:type="dxa"/>
          <w:bottom w:w="0" w:type="dxa"/>
          <w:right w:w="0" w:type="dxa"/>
        </w:tblCellMar>
      </w:tblPr>
      <w:tblGrid>
        <w:gridCol w:w="6326"/>
        <w:gridCol w:w="60"/>
        <w:gridCol w:w="485"/>
        <w:gridCol w:w="60"/>
        <w:gridCol w:w="60"/>
        <w:gridCol w:w="71"/>
        <w:gridCol w:w="814"/>
        <w:gridCol w:w="140"/>
        <w:gridCol w:w="60"/>
        <w:gridCol w:w="71"/>
        <w:gridCol w:w="814"/>
        <w:gridCol w:w="140"/>
        <w:gridCol w:w="60"/>
        <w:gridCol w:w="65"/>
        <w:gridCol w:w="820"/>
        <w:gridCol w:w="159"/>
      </w:tblGrid>
      <w:tr>
        <w:trPr/>
        <w:tc>
          <w:tcPr>
            <w:tcW w:w="6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 w:name="xdx_492_20241231_z9wNSMWtTDw5"/>
            <w:bookmarkEnd w:id="96"/>
          </w:p>
        </w:tc>
        <w:tc>
          <w:tcPr>
            <w:tcW w:w="885" w:type="dxa"/>
            <w:gridSpan w:val="2"/>
            <w:tcBorders/>
            <w:vAlign w:val="center"/>
          </w:tcPr>
          <w:p>
            <w:pPr>
              <w:pStyle w:val="TableContents"/>
              <w:bidi w:val="0"/>
              <w:spacing w:before="0" w:after="283"/>
              <w:jc w:val="center"/>
              <w:rPr>
                <w:b/>
              </w:rPr>
            </w:pPr>
            <w:r>
              <w:rPr>
                <w:b/>
              </w:rPr>
              <w:t>As of Dec 31,</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7" w:name="xdx_499_20251231_zoLjoo0IVCxb"/>
            <w:bookmarkEnd w:id="97"/>
          </w:p>
        </w:tc>
        <w:tc>
          <w:tcPr>
            <w:tcW w:w="885" w:type="dxa"/>
            <w:gridSpan w:val="2"/>
            <w:tcBorders/>
            <w:vAlign w:val="center"/>
          </w:tcPr>
          <w:p>
            <w:pPr>
              <w:pStyle w:val="TableContents"/>
              <w:bidi w:val="0"/>
              <w:spacing w:before="0" w:after="283"/>
              <w:jc w:val="center"/>
              <w:rPr>
                <w:b/>
              </w:rPr>
            </w:pPr>
            <w:r>
              <w:rPr>
                <w:b/>
              </w:rPr>
              <w:t>As of Dec 31,</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vAlign w:val="center"/>
          </w:tcPr>
          <w:p>
            <w:pPr>
              <w:pStyle w:val="TableContents"/>
              <w:bidi w:val="0"/>
              <w:spacing w:before="0" w:after="283"/>
              <w:jc w:val="center"/>
              <w:rPr>
                <w:b/>
              </w:rPr>
            </w:pPr>
            <w:r>
              <w:rPr>
                <w:b/>
              </w:rPr>
              <w:t>As of Dec 31,</w:t>
            </w:r>
          </w:p>
        </w:tc>
        <w:tc>
          <w:tcPr>
            <w:tcW w:w="159" w:type="dxa"/>
            <w:tcBorders/>
            <w:vAlign w:val="center"/>
          </w:tcPr>
          <w:p>
            <w:pPr>
              <w:pStyle w:val="TableContents"/>
              <w:bidi w:val="0"/>
              <w:spacing w:before="0" w:after="283"/>
              <w:jc w:val="center"/>
              <w:rPr/>
            </w:pPr>
            <w:r>
              <w:rPr/>
              <w:t> </w:t>
            </w:r>
          </w:p>
        </w:tc>
      </w:tr>
      <w:tr>
        <w:trPr/>
        <w:tc>
          <w:tcPr>
            <w:tcW w:w="6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pPr>
            <w:r>
              <w:rPr/>
              <w:t>Note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center"/>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S$’000</w:t>
            </w:r>
          </w:p>
        </w:tc>
        <w:tc>
          <w:tcPr>
            <w:tcW w:w="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center"/>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US$’000</w:t>
            </w:r>
          </w:p>
        </w:tc>
        <w:tc>
          <w:tcPr>
            <w:tcW w:w="159" w:type="dxa"/>
            <w:tcBorders/>
            <w:shd w:fill="FFFFFF" w:val="clear"/>
            <w:vAlign w:val="center"/>
          </w:tcPr>
          <w:p>
            <w:pPr>
              <w:pStyle w:val="TableContents"/>
              <w:bidi w:val="0"/>
              <w:spacing w:before="0" w:after="283"/>
              <w:jc w:val="center"/>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center"/>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(Note 2(d))</w:t>
            </w:r>
          </w:p>
        </w:tc>
        <w:tc>
          <w:tcPr>
            <w:tcW w:w="159" w:type="dxa"/>
            <w:tcBorders/>
            <w:shd w:fill="FFFFFF" w:val="clear"/>
            <w:vAlign w:val="center"/>
          </w:tcPr>
          <w:p>
            <w:pPr>
              <w:pStyle w:val="TableContents"/>
              <w:bidi w:val="0"/>
              <w:spacing w:before="0" w:after="283"/>
              <w:jc w:val="center"/>
              <w:rPr/>
            </w:pPr>
            <w:r>
              <w:rPr/>
              <w:t> </w:t>
            </w:r>
            <w:bookmarkStart w:id="98" w:name="xdx_40D_eus-gaap--AssetsAbstract_iB_z7da"/>
            <w:bookmarkEnd w:id="98"/>
          </w:p>
        </w:tc>
      </w:tr>
      <w:tr>
        <w:trPr/>
        <w:tc>
          <w:tcPr>
            <w:tcW w:w="632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bookmarkStart w:id="99" w:name="xdx_403_eus-gaap--AssetsCurrentAbstract_"/>
            <w:bookmarkEnd w:id="99"/>
          </w:p>
        </w:tc>
      </w:tr>
      <w:tr>
        <w:trPr/>
        <w:tc>
          <w:tcPr>
            <w:tcW w:w="632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00" w:name="xdx_408_eus-gaap--CashAndCashEquivalents"/>
            <w:bookmarkEnd w:id="100"/>
          </w:p>
        </w:tc>
      </w:tr>
      <w:tr>
        <w:trPr/>
        <w:tc>
          <w:tcPr>
            <w:tcW w:w="632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686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10,684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01" w:name="xdx_985_eus-gaap--CashAndCashEquivalents"/>
            <w:bookmarkEnd w:id="101"/>
          </w:p>
        </w:tc>
        <w:tc>
          <w:tcPr>
            <w:tcW w:w="820" w:type="dxa"/>
            <w:tcBorders/>
            <w:shd w:fill="CCEEFF" w:val="clear"/>
            <w:vAlign w:val="center"/>
          </w:tcPr>
          <w:p>
            <w:pPr>
              <w:pStyle w:val="TableContents"/>
              <w:bidi w:val="0"/>
              <w:spacing w:before="0" w:after="283"/>
              <w:jc w:val="right"/>
              <w:rPr/>
            </w:pPr>
            <w:r>
              <w:rPr/>
              <w:t>8,309</w:t>
            </w:r>
          </w:p>
        </w:tc>
        <w:tc>
          <w:tcPr>
            <w:tcW w:w="159" w:type="dxa"/>
            <w:tcBorders/>
            <w:shd w:fill="CCEEFF" w:val="clear"/>
            <w:vAlign w:val="center"/>
          </w:tcPr>
          <w:p>
            <w:pPr>
              <w:pStyle w:val="TableContents"/>
              <w:bidi w:val="0"/>
              <w:spacing w:before="0" w:after="283"/>
              <w:jc w:val="left"/>
              <w:rPr/>
            </w:pPr>
            <w:r>
              <w:rPr/>
              <w:t> </w:t>
            </w:r>
            <w:bookmarkStart w:id="102" w:name="xdx_409_eus-gaap--AccountsReceivableNetC"/>
            <w:bookmarkEnd w:id="102"/>
          </w:p>
        </w:tc>
      </w:tr>
      <w:tr>
        <w:trPr/>
        <w:tc>
          <w:tcPr>
            <w:tcW w:w="6326"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16,257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14,410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03" w:name="xdx_98C_eus-gaap--AccountsReceivableNetC"/>
            <w:bookmarkEnd w:id="103"/>
          </w:p>
        </w:tc>
        <w:tc>
          <w:tcPr>
            <w:tcW w:w="820" w:type="dxa"/>
            <w:tcBorders/>
            <w:shd w:fill="FFFFFF" w:val="clear"/>
            <w:vAlign w:val="center"/>
          </w:tcPr>
          <w:p>
            <w:pPr>
              <w:pStyle w:val="TableContents"/>
              <w:bidi w:val="0"/>
              <w:spacing w:before="0" w:after="283"/>
              <w:jc w:val="right"/>
              <w:rPr/>
            </w:pPr>
            <w:r>
              <w:rPr/>
              <w:t>11,206</w:t>
            </w:r>
          </w:p>
        </w:tc>
        <w:tc>
          <w:tcPr>
            <w:tcW w:w="159" w:type="dxa"/>
            <w:tcBorders/>
            <w:shd w:fill="FFFFFF" w:val="clear"/>
            <w:vAlign w:val="center"/>
          </w:tcPr>
          <w:p>
            <w:pPr>
              <w:pStyle w:val="TableContents"/>
              <w:bidi w:val="0"/>
              <w:spacing w:before="0" w:after="283"/>
              <w:jc w:val="left"/>
              <w:rPr/>
            </w:pPr>
            <w:r>
              <w:rPr/>
              <w:t> </w:t>
            </w:r>
            <w:bookmarkStart w:id="104" w:name="xdx_400_eus-gaap--ContractWithCustomerAs"/>
            <w:bookmarkEnd w:id="104"/>
          </w:p>
        </w:tc>
      </w:tr>
      <w:tr>
        <w:trPr/>
        <w:tc>
          <w:tcPr>
            <w:tcW w:w="6326"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79</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05" w:name="xdx_984_eus-gaap--ContractWithCustomerAs"/>
            <w:bookmarkEnd w:id="105"/>
          </w:p>
        </w:tc>
        <w:tc>
          <w:tcPr>
            <w:tcW w:w="820" w:type="dxa"/>
            <w:tcBorders/>
            <w:shd w:fill="CCEEFF" w:val="clear"/>
            <w:vAlign w:val="center"/>
          </w:tcPr>
          <w:p>
            <w:pPr>
              <w:pStyle w:val="TableContents"/>
              <w:bidi w:val="0"/>
              <w:spacing w:before="0" w:after="283"/>
              <w:jc w:val="right"/>
              <w:rPr/>
            </w:pPr>
            <w:r>
              <w:rPr/>
              <w:t>61</w:t>
            </w:r>
          </w:p>
        </w:tc>
        <w:tc>
          <w:tcPr>
            <w:tcW w:w="159" w:type="dxa"/>
            <w:tcBorders/>
            <w:shd w:fill="CCEEFF" w:val="clear"/>
            <w:vAlign w:val="center"/>
          </w:tcPr>
          <w:p>
            <w:pPr>
              <w:pStyle w:val="TableContents"/>
              <w:bidi w:val="0"/>
              <w:spacing w:before="0" w:after="283"/>
              <w:jc w:val="left"/>
              <w:rPr/>
            </w:pPr>
            <w:r>
              <w:rPr/>
              <w:t> </w:t>
            </w:r>
            <w:bookmarkStart w:id="106" w:name="xdx_40F_eus-gaap--InventoryNet_i02I_maAC"/>
            <w:bookmarkEnd w:id="106"/>
          </w:p>
        </w:tc>
      </w:tr>
      <w:tr>
        <w:trPr/>
        <w:tc>
          <w:tcPr>
            <w:tcW w:w="6326"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18,620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15,761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07" w:name="xdx_987_eus-gaap--InventoryNet_i02I_uUSD"/>
            <w:bookmarkEnd w:id="107"/>
          </w:p>
        </w:tc>
        <w:tc>
          <w:tcPr>
            <w:tcW w:w="820" w:type="dxa"/>
            <w:tcBorders/>
            <w:shd w:fill="FFFFFF" w:val="clear"/>
            <w:vAlign w:val="center"/>
          </w:tcPr>
          <w:p>
            <w:pPr>
              <w:pStyle w:val="TableContents"/>
              <w:bidi w:val="0"/>
              <w:spacing w:before="0" w:after="283"/>
              <w:jc w:val="right"/>
              <w:rPr/>
            </w:pPr>
            <w:r>
              <w:rPr/>
              <w:t>12,257</w:t>
            </w:r>
          </w:p>
        </w:tc>
        <w:tc>
          <w:tcPr>
            <w:tcW w:w="159" w:type="dxa"/>
            <w:tcBorders/>
            <w:shd w:fill="FFFFFF" w:val="clear"/>
            <w:vAlign w:val="center"/>
          </w:tcPr>
          <w:p>
            <w:pPr>
              <w:pStyle w:val="TableContents"/>
              <w:bidi w:val="0"/>
              <w:spacing w:before="0" w:after="283"/>
              <w:jc w:val="left"/>
              <w:rPr/>
            </w:pPr>
            <w:r>
              <w:rPr/>
              <w:t> </w:t>
            </w:r>
            <w:bookmarkStart w:id="108" w:name="xdx_409_eus-gaap--PrepaidExpenseAndOther"/>
            <w:bookmarkEnd w:id="108"/>
          </w:p>
        </w:tc>
      </w:tr>
      <w:tr>
        <w:trPr/>
        <w:tc>
          <w:tcPr>
            <w:tcW w:w="6326" w:type="dxa"/>
            <w:tcBorders/>
            <w:shd w:fill="CCEEFF" w:val="clear"/>
            <w:vAlign w:val="center"/>
          </w:tcPr>
          <w:p>
            <w:pPr>
              <w:pStyle w:val="TableContents"/>
              <w:bidi w:val="0"/>
              <w:spacing w:before="0" w:after="283"/>
              <w:jc w:val="left"/>
              <w:rPr/>
            </w:pPr>
            <w:r>
              <w:rPr/>
              <w:t>Deposits, prepayments and other receivables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1,808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2,996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09" w:name="xdx_986_eus-gaap--PrepaidExpenseAndOther"/>
            <w:bookmarkEnd w:id="109"/>
          </w:p>
        </w:tc>
        <w:tc>
          <w:tcPr>
            <w:tcW w:w="820" w:type="dxa"/>
            <w:tcBorders/>
            <w:shd w:fill="CCEEFF" w:val="clear"/>
            <w:vAlign w:val="center"/>
          </w:tcPr>
          <w:p>
            <w:pPr>
              <w:pStyle w:val="TableContents"/>
              <w:bidi w:val="0"/>
              <w:spacing w:before="0" w:after="283"/>
              <w:jc w:val="right"/>
              <w:rPr/>
            </w:pPr>
            <w:r>
              <w:rPr/>
              <w:t>2,330</w:t>
            </w:r>
          </w:p>
        </w:tc>
        <w:tc>
          <w:tcPr>
            <w:tcW w:w="159" w:type="dxa"/>
            <w:tcBorders/>
            <w:shd w:fill="CCEEFF" w:val="clear"/>
            <w:vAlign w:val="center"/>
          </w:tcPr>
          <w:p>
            <w:pPr>
              <w:pStyle w:val="TableContents"/>
              <w:bidi w:val="0"/>
              <w:spacing w:before="0" w:after="283"/>
              <w:jc w:val="left"/>
              <w:rPr/>
            </w:pPr>
            <w:r>
              <w:rPr/>
              <w:t> </w:t>
            </w:r>
            <w:bookmarkStart w:id="110" w:name="xdx_408_eus-gaap--DeferredCostsCurrent_i"/>
            <w:bookmarkEnd w:id="110"/>
          </w:p>
        </w:tc>
      </w:tr>
      <w:tr>
        <w:trPr/>
        <w:tc>
          <w:tcPr>
            <w:tcW w:w="6326" w:type="dxa"/>
            <w:tcBorders/>
            <w:shd w:fill="FFFFFF" w:val="clear"/>
            <w:vAlign w:val="center"/>
          </w:tcPr>
          <w:p>
            <w:pPr>
              <w:pStyle w:val="TableContents"/>
              <w:bidi w:val="0"/>
              <w:spacing w:before="0" w:after="283"/>
              <w:jc w:val="left"/>
              <w:rPr/>
            </w:pPr>
            <w:r>
              <w:rPr/>
              <w:t>Deferred IPO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1,901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 w:name="xdx_981_eus-gaap--DeferredCostsCurrent_i"/>
            <w:bookmarkEnd w:id="111"/>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9" w:type="dxa"/>
            <w:tcBorders/>
            <w:shd w:fill="FFFFFF" w:val="clear"/>
            <w:vAlign w:val="center"/>
          </w:tcPr>
          <w:p>
            <w:pPr>
              <w:pStyle w:val="TableContents"/>
              <w:bidi w:val="0"/>
              <w:spacing w:before="0" w:after="283"/>
              <w:jc w:val="left"/>
              <w:rPr/>
            </w:pPr>
            <w:r>
              <w:rPr/>
              <w:t> </w:t>
            </w:r>
            <w:bookmarkStart w:id="112" w:name="xdx_40F_eus-gaap--AssetsCurrent_i01TI_mt"/>
            <w:bookmarkEnd w:id="112"/>
          </w:p>
        </w:tc>
      </w:tr>
      <w:tr>
        <w:trPr/>
        <w:tc>
          <w:tcPr>
            <w:tcW w:w="632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39,272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43,930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 w:name="xdx_985_eus-gaap--AssetsCurrent_i01TI_uU"/>
            <w:bookmarkEnd w:id="113"/>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34,163</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14" w:name="xdx_406_eus-gaap--AssetsNoncurrentAbstra"/>
            <w:bookmarkEnd w:id="114"/>
          </w:p>
        </w:tc>
      </w:tr>
      <w:tr>
        <w:trPr/>
        <w:tc>
          <w:tcPr>
            <w:tcW w:w="6326"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bookmarkStart w:id="115" w:name="xdx_40F_eus-gaap--PropertyPlantAndEquipm"/>
            <w:bookmarkEnd w:id="115"/>
          </w:p>
        </w:tc>
      </w:tr>
      <w:tr>
        <w:trPr/>
        <w:tc>
          <w:tcPr>
            <w:tcW w:w="6326"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30,233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33,137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16" w:name="xdx_981_eus-gaap--PropertyPlantAndEquipm"/>
            <w:bookmarkEnd w:id="116"/>
          </w:p>
        </w:tc>
        <w:tc>
          <w:tcPr>
            <w:tcW w:w="820" w:type="dxa"/>
            <w:tcBorders/>
            <w:shd w:fill="FFFFFF" w:val="clear"/>
            <w:vAlign w:val="center"/>
          </w:tcPr>
          <w:p>
            <w:pPr>
              <w:pStyle w:val="TableContents"/>
              <w:bidi w:val="0"/>
              <w:spacing w:before="0" w:after="283"/>
              <w:jc w:val="right"/>
              <w:rPr/>
            </w:pPr>
            <w:r>
              <w:rPr/>
              <w:t>25,769</w:t>
            </w:r>
          </w:p>
        </w:tc>
        <w:tc>
          <w:tcPr>
            <w:tcW w:w="159" w:type="dxa"/>
            <w:tcBorders/>
            <w:shd w:fill="FFFFFF" w:val="clear"/>
            <w:vAlign w:val="center"/>
          </w:tcPr>
          <w:p>
            <w:pPr>
              <w:pStyle w:val="TableContents"/>
              <w:bidi w:val="0"/>
              <w:spacing w:before="0" w:after="283"/>
              <w:jc w:val="left"/>
              <w:rPr/>
            </w:pPr>
            <w:r>
              <w:rPr/>
              <w:t> </w:t>
            </w:r>
            <w:bookmarkStart w:id="117" w:name="xdx_405_eus-gaap--OperatingLeaseRightOfU"/>
            <w:bookmarkEnd w:id="117"/>
          </w:p>
        </w:tc>
      </w:tr>
      <w:tr>
        <w:trPr/>
        <w:tc>
          <w:tcPr>
            <w:tcW w:w="6326"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1,199</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18" w:name="xdx_987_eus-gaap--OperatingLeaseRightOfU"/>
            <w:bookmarkEnd w:id="118"/>
          </w:p>
        </w:tc>
        <w:tc>
          <w:tcPr>
            <w:tcW w:w="820" w:type="dxa"/>
            <w:tcBorders/>
            <w:shd w:fill="CCEEFF" w:val="clear"/>
            <w:vAlign w:val="center"/>
          </w:tcPr>
          <w:p>
            <w:pPr>
              <w:pStyle w:val="TableContents"/>
              <w:bidi w:val="0"/>
              <w:spacing w:before="0" w:after="283"/>
              <w:jc w:val="right"/>
              <w:rPr/>
            </w:pPr>
            <w:r>
              <w:rPr/>
              <w:t>9</w:t>
            </w:r>
          </w:p>
        </w:tc>
        <w:tc>
          <w:tcPr>
            <w:tcW w:w="159" w:type="dxa"/>
            <w:tcBorders/>
            <w:shd w:fill="CCEEFF" w:val="clear"/>
            <w:vAlign w:val="center"/>
          </w:tcPr>
          <w:p>
            <w:pPr>
              <w:pStyle w:val="TableContents"/>
              <w:bidi w:val="0"/>
              <w:spacing w:before="0" w:after="283"/>
              <w:jc w:val="left"/>
              <w:rPr/>
            </w:pPr>
            <w:r>
              <w:rPr/>
              <w:t> </w:t>
            </w:r>
            <w:bookmarkStart w:id="119" w:name="xdx_409_ecustom--OtherReceivable_i01I_ma"/>
            <w:bookmarkEnd w:id="119"/>
          </w:p>
        </w:tc>
      </w:tr>
      <w:tr>
        <w:trPr/>
        <w:tc>
          <w:tcPr>
            <w:tcW w:w="632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343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304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 w:name="xdx_986_ecustom--OtherReceivable_i01I_uU"/>
            <w:bookmarkEnd w:id="120"/>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159" w:type="dxa"/>
            <w:tcBorders/>
            <w:shd w:fill="FFFFFF" w:val="clear"/>
            <w:vAlign w:val="center"/>
          </w:tcPr>
          <w:p>
            <w:pPr>
              <w:pStyle w:val="TableContents"/>
              <w:bidi w:val="0"/>
              <w:spacing w:before="0" w:after="283"/>
              <w:jc w:val="left"/>
              <w:rPr/>
            </w:pPr>
            <w:r>
              <w:rPr/>
              <w:t> </w:t>
            </w:r>
            <w:bookmarkStart w:id="121" w:name="xdx_401_eus-gaap--AssetsNoncurrent_i01TI"/>
            <w:bookmarkEnd w:id="121"/>
          </w:p>
        </w:tc>
      </w:tr>
      <w:tr>
        <w:trPr/>
        <w:tc>
          <w:tcPr>
            <w:tcW w:w="6326"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31,775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33,452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2" w:name="xdx_989_eus-gaap--AssetsNoncurrent_i01TI"/>
            <w:bookmarkEnd w:id="122"/>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26,014</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23" w:name="xdx_40D_eus-gaap--Assets_iTI_mtAzzYf_zYb"/>
            <w:bookmarkEnd w:id="123"/>
          </w:p>
        </w:tc>
      </w:tr>
      <w:tr>
        <w:trPr/>
        <w:tc>
          <w:tcPr>
            <w:tcW w:w="632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71,047</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77,382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 w:name="xdx_981_eus-gaap--Assets_iTI_uUSD_c20251"/>
            <w:bookmarkEnd w:id="124"/>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60,177</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25" w:name="xdx_403_eus-gaap--LiabilitiesAndStockhol"/>
            <w:bookmarkEnd w:id="125"/>
          </w:p>
        </w:tc>
      </w:tr>
      <w:tr>
        <w:trPr/>
        <w:tc>
          <w:tcPr>
            <w:tcW w:w="6326"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bookmarkStart w:id="126" w:name="xdx_40A_eus-gaap--LiabilitiesCurrentAbst"/>
            <w:bookmarkEnd w:id="126"/>
          </w:p>
        </w:tc>
      </w:tr>
      <w:tr>
        <w:trPr/>
        <w:tc>
          <w:tcPr>
            <w:tcW w:w="632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27" w:name="xdx_40B_eus-gaap--AccountsPayableAndAccr"/>
            <w:bookmarkEnd w:id="127"/>
          </w:p>
        </w:tc>
      </w:tr>
      <w:tr>
        <w:trPr/>
        <w:tc>
          <w:tcPr>
            <w:tcW w:w="6326"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12,136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11,488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28" w:name="xdx_986_eus-gaap--AccountsPayableAndAccr"/>
            <w:bookmarkEnd w:id="128"/>
          </w:p>
        </w:tc>
        <w:tc>
          <w:tcPr>
            <w:tcW w:w="820" w:type="dxa"/>
            <w:tcBorders/>
            <w:shd w:fill="CCEEFF" w:val="clear"/>
            <w:vAlign w:val="center"/>
          </w:tcPr>
          <w:p>
            <w:pPr>
              <w:pStyle w:val="TableContents"/>
              <w:bidi w:val="0"/>
              <w:spacing w:before="0" w:after="283"/>
              <w:jc w:val="right"/>
              <w:rPr/>
            </w:pPr>
            <w:r>
              <w:rPr/>
              <w:t>8,934</w:t>
            </w:r>
          </w:p>
        </w:tc>
        <w:tc>
          <w:tcPr>
            <w:tcW w:w="159" w:type="dxa"/>
            <w:tcBorders/>
            <w:shd w:fill="CCEEFF" w:val="clear"/>
            <w:vAlign w:val="center"/>
          </w:tcPr>
          <w:p>
            <w:pPr>
              <w:pStyle w:val="TableContents"/>
              <w:bidi w:val="0"/>
              <w:spacing w:before="0" w:after="283"/>
              <w:jc w:val="left"/>
              <w:rPr/>
            </w:pPr>
            <w:r>
              <w:rPr/>
              <w:t> </w:t>
            </w:r>
            <w:bookmarkStart w:id="129" w:name="xdx_400_eus-gaap--OtherLiabilitiesCurren"/>
            <w:bookmarkEnd w:id="129"/>
          </w:p>
        </w:tc>
      </w:tr>
      <w:tr>
        <w:trPr/>
        <w:tc>
          <w:tcPr>
            <w:tcW w:w="6326"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12,930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14,472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30" w:name="xdx_989_eus-gaap--OtherLiabilitiesCurren"/>
            <w:bookmarkEnd w:id="130"/>
          </w:p>
        </w:tc>
        <w:tc>
          <w:tcPr>
            <w:tcW w:w="820" w:type="dxa"/>
            <w:tcBorders/>
            <w:shd w:fill="FFFFFF" w:val="clear"/>
            <w:vAlign w:val="center"/>
          </w:tcPr>
          <w:p>
            <w:pPr>
              <w:pStyle w:val="TableContents"/>
              <w:bidi w:val="0"/>
              <w:spacing w:before="0" w:after="283"/>
              <w:jc w:val="right"/>
              <w:rPr/>
            </w:pPr>
            <w:r>
              <w:rPr/>
              <w:t>11,254</w:t>
            </w:r>
          </w:p>
        </w:tc>
        <w:tc>
          <w:tcPr>
            <w:tcW w:w="159" w:type="dxa"/>
            <w:tcBorders/>
            <w:shd w:fill="FFFFFF" w:val="clear"/>
            <w:vAlign w:val="center"/>
          </w:tcPr>
          <w:p>
            <w:pPr>
              <w:pStyle w:val="TableContents"/>
              <w:bidi w:val="0"/>
              <w:spacing w:before="0" w:after="283"/>
              <w:jc w:val="left"/>
              <w:rPr/>
            </w:pPr>
            <w:r>
              <w:rPr/>
              <w:t> </w:t>
            </w:r>
            <w:bookmarkStart w:id="131" w:name="xdx_407_eus-gaap--ShortTermBorrowings_i0"/>
            <w:bookmarkEnd w:id="131"/>
          </w:p>
        </w:tc>
      </w:tr>
      <w:tr>
        <w:trPr/>
        <w:tc>
          <w:tcPr>
            <w:tcW w:w="6326" w:type="dxa"/>
            <w:tcBorders/>
            <w:shd w:fill="CCEEFF" w:val="clear"/>
            <w:vAlign w:val="center"/>
          </w:tcPr>
          <w:p>
            <w:pPr>
              <w:pStyle w:val="TableContents"/>
              <w:bidi w:val="0"/>
              <w:spacing w:before="0" w:after="283"/>
              <w:jc w:val="left"/>
              <w:rPr/>
            </w:pPr>
            <w:r>
              <w:rPr/>
              <w:t>Bank borrowings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23,333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16,953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32" w:name="xdx_982_eus-gaap--ShortTermBorrowings_i0"/>
            <w:bookmarkEnd w:id="132"/>
          </w:p>
        </w:tc>
        <w:tc>
          <w:tcPr>
            <w:tcW w:w="820" w:type="dxa"/>
            <w:tcBorders/>
            <w:shd w:fill="CCEEFF" w:val="clear"/>
            <w:vAlign w:val="center"/>
          </w:tcPr>
          <w:p>
            <w:pPr>
              <w:pStyle w:val="TableContents"/>
              <w:bidi w:val="0"/>
              <w:spacing w:before="0" w:after="283"/>
              <w:jc w:val="right"/>
              <w:rPr/>
            </w:pPr>
            <w:r>
              <w:rPr/>
              <w:t>13,184</w:t>
            </w:r>
          </w:p>
        </w:tc>
        <w:tc>
          <w:tcPr>
            <w:tcW w:w="159" w:type="dxa"/>
            <w:tcBorders/>
            <w:shd w:fill="CCEEFF" w:val="clear"/>
            <w:vAlign w:val="center"/>
          </w:tcPr>
          <w:p>
            <w:pPr>
              <w:pStyle w:val="TableContents"/>
              <w:bidi w:val="0"/>
              <w:spacing w:before="0" w:after="283"/>
              <w:jc w:val="left"/>
              <w:rPr/>
            </w:pPr>
            <w:r>
              <w:rPr/>
              <w:t> </w:t>
            </w:r>
            <w:bookmarkStart w:id="133" w:name="xdx_40B_ecustom--LeaseLiabilities_i02I_m"/>
            <w:bookmarkEnd w:id="133"/>
          </w:p>
        </w:tc>
      </w:tr>
      <w:tr>
        <w:trPr/>
        <w:tc>
          <w:tcPr>
            <w:tcW w:w="6326"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7,421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6,606</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34" w:name="xdx_980_ecustom--LeaseLiabilities_i02I_u"/>
            <w:bookmarkEnd w:id="134"/>
          </w:p>
        </w:tc>
        <w:tc>
          <w:tcPr>
            <w:tcW w:w="820" w:type="dxa"/>
            <w:tcBorders/>
            <w:shd w:fill="FFFFFF" w:val="clear"/>
            <w:vAlign w:val="center"/>
          </w:tcPr>
          <w:p>
            <w:pPr>
              <w:pStyle w:val="TableContents"/>
              <w:bidi w:val="0"/>
              <w:spacing w:before="0" w:after="283"/>
              <w:jc w:val="right"/>
              <w:rPr/>
            </w:pPr>
            <w:r>
              <w:rPr/>
              <w:t>5,137</w:t>
            </w:r>
          </w:p>
        </w:tc>
        <w:tc>
          <w:tcPr>
            <w:tcW w:w="159" w:type="dxa"/>
            <w:tcBorders/>
            <w:shd w:fill="FFFFFF" w:val="clear"/>
            <w:vAlign w:val="center"/>
          </w:tcPr>
          <w:p>
            <w:pPr>
              <w:pStyle w:val="TableContents"/>
              <w:bidi w:val="0"/>
              <w:spacing w:before="0" w:after="283"/>
              <w:jc w:val="left"/>
              <w:rPr/>
            </w:pPr>
            <w:r>
              <w:rPr/>
              <w:t> </w:t>
            </w:r>
            <w:bookmarkStart w:id="135" w:name="xdx_40E_eus-gaap--AccruedIncomeTaxesCurr"/>
            <w:bookmarkEnd w:id="135"/>
          </w:p>
        </w:tc>
      </w:tr>
      <w:tr>
        <w:trPr/>
        <w:tc>
          <w:tcPr>
            <w:tcW w:w="6326"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127</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993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6" w:name="xdx_981_eus-gaap--AccruedIncomeTaxesCurr"/>
            <w:bookmarkEnd w:id="136"/>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772</w:t>
            </w:r>
          </w:p>
        </w:tc>
        <w:tc>
          <w:tcPr>
            <w:tcW w:w="159" w:type="dxa"/>
            <w:tcBorders/>
            <w:shd w:fill="CCEEFF" w:val="clear"/>
            <w:vAlign w:val="center"/>
          </w:tcPr>
          <w:p>
            <w:pPr>
              <w:pStyle w:val="TableContents"/>
              <w:bidi w:val="0"/>
              <w:spacing w:before="0" w:after="283"/>
              <w:jc w:val="left"/>
              <w:rPr/>
            </w:pPr>
            <w:r>
              <w:rPr/>
              <w:t> </w:t>
            </w:r>
            <w:bookmarkStart w:id="137" w:name="xdx_401_eus-gaap--LiabilitiesCurrent_i01"/>
            <w:bookmarkEnd w:id="137"/>
          </w:p>
        </w:tc>
      </w:tr>
      <w:tr>
        <w:trPr/>
        <w:tc>
          <w:tcPr>
            <w:tcW w:w="632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55,947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50,512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8" w:name="xdx_988_eus-gaap--LiabilitiesCurrent_i01"/>
            <w:bookmarkEnd w:id="138"/>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39,281</w:t>
            </w:r>
          </w:p>
        </w:tc>
        <w:tc>
          <w:tcPr>
            <w:tcW w:w="159" w:type="dxa"/>
            <w:tcBorders/>
            <w:shd w:fill="FFFFFF" w:val="clear"/>
            <w:vAlign w:val="center"/>
          </w:tcPr>
          <w:p>
            <w:pPr>
              <w:pStyle w:val="TableContents"/>
              <w:bidi w:val="0"/>
              <w:spacing w:before="0" w:after="283"/>
              <w:jc w:val="left"/>
              <w:rPr/>
            </w:pPr>
            <w:r>
              <w:rPr/>
              <w:t> </w:t>
            </w:r>
          </w:p>
        </w:tc>
      </w:tr>
      <w:tr>
        <w:trPr/>
        <w:tc>
          <w:tcPr>
            <w:tcW w:w="63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bookmarkStart w:id="139" w:name="xdx_40B_eus-gaap--LiabilitiesNoncurrentA"/>
            <w:bookmarkEnd w:id="139"/>
          </w:p>
        </w:tc>
      </w:tr>
      <w:tr>
        <w:trPr/>
        <w:tc>
          <w:tcPr>
            <w:tcW w:w="6326"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40" w:name="xdx_408_ecustom--LeaseLiabilityNoncurren"/>
            <w:bookmarkEnd w:id="140"/>
          </w:p>
        </w:tc>
      </w:tr>
      <w:tr>
        <w:trPr/>
        <w:tc>
          <w:tcPr>
            <w:tcW w:w="6326"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6,865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7,558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41" w:name="xdx_988_ecustom--LeaseLiabilityNoncurren"/>
            <w:bookmarkEnd w:id="141"/>
          </w:p>
        </w:tc>
        <w:tc>
          <w:tcPr>
            <w:tcW w:w="820" w:type="dxa"/>
            <w:tcBorders/>
            <w:shd w:fill="CCEEFF" w:val="clear"/>
            <w:vAlign w:val="center"/>
          </w:tcPr>
          <w:p>
            <w:pPr>
              <w:pStyle w:val="TableContents"/>
              <w:bidi w:val="0"/>
              <w:spacing w:before="0" w:after="283"/>
              <w:jc w:val="right"/>
              <w:rPr/>
            </w:pPr>
            <w:r>
              <w:rPr/>
              <w:t>5,878</w:t>
            </w:r>
          </w:p>
        </w:tc>
        <w:tc>
          <w:tcPr>
            <w:tcW w:w="159" w:type="dxa"/>
            <w:tcBorders/>
            <w:shd w:fill="CCEEFF" w:val="clear"/>
            <w:vAlign w:val="center"/>
          </w:tcPr>
          <w:p>
            <w:pPr>
              <w:pStyle w:val="TableContents"/>
              <w:bidi w:val="0"/>
              <w:spacing w:before="0" w:after="283"/>
              <w:jc w:val="left"/>
              <w:rPr/>
            </w:pPr>
            <w:r>
              <w:rPr/>
              <w:t> </w:t>
            </w:r>
            <w:bookmarkStart w:id="142" w:name="xdx_40B_eus-gaap--DeferredIncomeTaxLiabi"/>
            <w:bookmarkEnd w:id="142"/>
          </w:p>
        </w:tc>
      </w:tr>
      <w:tr>
        <w:trPr/>
        <w:tc>
          <w:tcPr>
            <w:tcW w:w="6326"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2,017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2,613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 w:name="xdx_986_eus-gaap--DeferredIncomeTaxLiabi"/>
            <w:bookmarkEnd w:id="143"/>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2,032</w:t>
            </w:r>
          </w:p>
        </w:tc>
        <w:tc>
          <w:tcPr>
            <w:tcW w:w="159" w:type="dxa"/>
            <w:tcBorders/>
            <w:shd w:fill="FFFFFF" w:val="clear"/>
            <w:vAlign w:val="center"/>
          </w:tcPr>
          <w:p>
            <w:pPr>
              <w:pStyle w:val="TableContents"/>
              <w:bidi w:val="0"/>
              <w:spacing w:before="0" w:after="283"/>
              <w:jc w:val="left"/>
              <w:rPr/>
            </w:pPr>
            <w:r>
              <w:rPr/>
              <w:t> </w:t>
            </w:r>
            <w:bookmarkStart w:id="144" w:name="xdx_402_eus-gaap--LiabilitiesNoncurrent_"/>
            <w:bookmarkEnd w:id="144"/>
          </w:p>
        </w:tc>
      </w:tr>
      <w:tr>
        <w:trPr/>
        <w:tc>
          <w:tcPr>
            <w:tcW w:w="6326"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8,882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10,171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5" w:name="xdx_982_eus-gaap--LiabilitiesNoncurrent_"/>
            <w:bookmarkEnd w:id="145"/>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7,910</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46" w:name="xdx_400_eus-gaap--Liabilities_iTI_mtLzKX"/>
            <w:bookmarkEnd w:id="146"/>
          </w:p>
        </w:tc>
      </w:tr>
      <w:tr>
        <w:trPr/>
        <w:tc>
          <w:tcPr>
            <w:tcW w:w="632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64,829</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60,683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 w:name="xdx_984_eus-gaap--Liabilities_iTI_uUSD_c"/>
            <w:bookmarkEnd w:id="147"/>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47,191</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48" w:name="xdx_408_eus-gaap--CommitmentsAndContinge"/>
            <w:bookmarkEnd w:id="148"/>
          </w:p>
        </w:tc>
      </w:tr>
      <w:tr>
        <w:trPr/>
        <w:tc>
          <w:tcPr>
            <w:tcW w:w="6326" w:type="dxa"/>
            <w:tcBorders/>
            <w:shd w:fill="CCEEFF" w:val="clear"/>
            <w:vAlign w:val="center"/>
          </w:tcPr>
          <w:p>
            <w:pPr>
              <w:pStyle w:val="TableContents"/>
              <w:bidi w:val="0"/>
              <w:spacing w:before="0" w:after="283"/>
              <w:jc w:val="left"/>
              <w:rPr/>
            </w:pPr>
            <w:r>
              <w:rPr/>
              <w:t>Commitments and contingencies (Note 19)</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49" w:name="xdx_98B_eus-gaap--CommitmentsAndContinge"/>
            <w:bookmarkEnd w:id="149"/>
          </w:p>
        </w:tc>
        <w:tc>
          <w:tcPr>
            <w:tcW w:w="820" w:type="dxa"/>
            <w:tcBorders/>
            <w:shd w:fill="CCEEFF" w:val="cle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r>
      <w:tr>
        <w:trPr/>
        <w:tc>
          <w:tcPr>
            <w:tcW w:w="6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bookmarkStart w:id="150" w:name="xdx_402_eus-gaap--StockholdersEquityAbst"/>
            <w:bookmarkEnd w:id="150"/>
          </w:p>
        </w:tc>
      </w:tr>
      <w:tr>
        <w:trPr/>
        <w:tc>
          <w:tcPr>
            <w:tcW w:w="6326"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bookmarkStart w:id="151" w:name="xdx_407_eus-gaap--CommonStockValue_i01I_"/>
            <w:bookmarkEnd w:id="151"/>
          </w:p>
        </w:tc>
      </w:tr>
      <w:tr>
        <w:trPr/>
        <w:tc>
          <w:tcPr>
            <w:tcW w:w="6326" w:type="dxa"/>
            <w:tcBorders/>
            <w:shd w:fill="FFFFFF" w:val="clear"/>
            <w:vAlign w:val="center"/>
          </w:tcPr>
          <w:p>
            <w:pPr>
              <w:pStyle w:val="TableContents"/>
              <w:bidi w:val="0"/>
              <w:spacing w:before="0" w:after="283"/>
              <w:jc w:val="left"/>
              <w:rPr/>
            </w:pPr>
            <w:r>
              <w:rPr/>
              <w:t>Ordinary share, par value US$</w:t>
            </w:r>
            <w:bookmarkStart w:id="152" w:name="xdx_90D_eus-gaap--CommonStockParOrStated"/>
            <w:bookmarkStart w:id="153" w:name="xdx_908_eus-gaap--CommonStockParOrStated"/>
            <w:bookmarkEnd w:id="152"/>
            <w:bookmarkEnd w:id="153"/>
            <w:r>
              <w:rPr/>
              <w:t xml:space="preserve">0.000025, </w:t>
            </w:r>
            <w:bookmarkStart w:id="154" w:name="xdx_90D_eus-gaap--CommonStockSharesAutho"/>
            <w:bookmarkStart w:id="155" w:name="xdx_900_eus-gaap--CommonStockSharesAutho"/>
            <w:bookmarkEnd w:id="154"/>
            <w:bookmarkEnd w:id="155"/>
            <w:r>
              <w:rPr/>
              <w:t xml:space="preserve">20,000,000,000 shares authorized, </w:t>
            </w:r>
            <w:bookmarkStart w:id="156" w:name="xdx_905_eus-gaap--CommonStockSharesOutst"/>
            <w:bookmarkStart w:id="157" w:name="xdx_908_eus-gaap--CommonStockSharesIssue"/>
            <w:bookmarkEnd w:id="156"/>
            <w:bookmarkEnd w:id="157"/>
            <w:r>
              <w:rPr/>
              <w:t xml:space="preserve">27,796,502 and </w:t>
            </w:r>
            <w:bookmarkStart w:id="158" w:name="xdx_903_eus-gaap--CommonStockSharesOutst"/>
            <w:bookmarkStart w:id="159" w:name="xdx_907_eus-gaap--CommonStockSharesIssue"/>
            <w:bookmarkEnd w:id="158"/>
            <w:bookmarkEnd w:id="159"/>
            <w:r>
              <w:rPr/>
              <w:t>29,404,342 ordinary shares issued and outstanding as of December 31, 2024 an December 31, 2025, respectively**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bookmarkStart w:id="160" w:name="xdx_F29_zaJCyxLtSRel"/>
            <w:bookmarkEnd w:id="160"/>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bookmarkStart w:id="161" w:name="xdx_F22_zWPYiGdga2Zf"/>
            <w:bookmarkEnd w:id="161"/>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62" w:name="xdx_98D_eus-gaap--CommonStockValue_i01I_"/>
            <w:bookmarkEnd w:id="162"/>
          </w:p>
        </w:tc>
        <w:tc>
          <w:tcPr>
            <w:tcW w:w="8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9" w:type="dxa"/>
            <w:tcBorders/>
            <w:shd w:fill="FFFFFF" w:val="clear"/>
            <w:vAlign w:val="center"/>
          </w:tcPr>
          <w:p>
            <w:pPr>
              <w:pStyle w:val="TableContents"/>
              <w:bidi w:val="0"/>
              <w:spacing w:before="0" w:after="283"/>
              <w:jc w:val="left"/>
              <w:rPr/>
            </w:pPr>
            <w:r>
              <w:rPr/>
              <w:t> </w:t>
            </w:r>
            <w:bookmarkStart w:id="163" w:name="xdx_40F_eus-gaap--AdditionalPaidInCapita"/>
            <w:bookmarkEnd w:id="163"/>
          </w:p>
        </w:tc>
      </w:tr>
      <w:tr>
        <w:trPr/>
        <w:tc>
          <w:tcPr>
            <w:tcW w:w="632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883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5,778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64" w:name="xdx_98C_eus-gaap--AdditionalPaidInCapita"/>
            <w:bookmarkEnd w:id="164"/>
          </w:p>
        </w:tc>
        <w:tc>
          <w:tcPr>
            <w:tcW w:w="820" w:type="dxa"/>
            <w:tcBorders/>
            <w:shd w:fill="CCEEFF" w:val="clear"/>
            <w:vAlign w:val="center"/>
          </w:tcPr>
          <w:p>
            <w:pPr>
              <w:pStyle w:val="TableContents"/>
              <w:bidi w:val="0"/>
              <w:spacing w:before="0" w:after="283"/>
              <w:jc w:val="right"/>
              <w:rPr/>
            </w:pPr>
            <w:r>
              <w:rPr/>
              <w:t>4,493</w:t>
            </w:r>
          </w:p>
        </w:tc>
        <w:tc>
          <w:tcPr>
            <w:tcW w:w="159" w:type="dxa"/>
            <w:tcBorders/>
            <w:shd w:fill="CCEEFF" w:val="clear"/>
            <w:vAlign w:val="center"/>
          </w:tcPr>
          <w:p>
            <w:pPr>
              <w:pStyle w:val="TableContents"/>
              <w:bidi w:val="0"/>
              <w:spacing w:before="0" w:after="283"/>
              <w:jc w:val="left"/>
              <w:rPr/>
            </w:pPr>
            <w:r>
              <w:rPr/>
              <w:t> </w:t>
            </w:r>
            <w:bookmarkStart w:id="165" w:name="xdx_408_eus-gaap--RetainedEarningsAccumu"/>
            <w:bookmarkEnd w:id="165"/>
          </w:p>
        </w:tc>
      </w:tr>
      <w:tr>
        <w:trPr/>
        <w:tc>
          <w:tcPr>
            <w:tcW w:w="6326"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5,335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10,921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66" w:name="xdx_989_eus-gaap--RetainedEarningsAccumu"/>
            <w:bookmarkEnd w:id="166"/>
          </w:p>
        </w:tc>
        <w:tc>
          <w:tcPr>
            <w:tcW w:w="820" w:type="dxa"/>
            <w:tcBorders/>
            <w:shd w:fill="FFFFFF" w:val="clear"/>
            <w:vAlign w:val="center"/>
          </w:tcPr>
          <w:p>
            <w:pPr>
              <w:pStyle w:val="TableContents"/>
              <w:bidi w:val="0"/>
              <w:spacing w:before="0" w:after="283"/>
              <w:jc w:val="right"/>
              <w:rPr/>
            </w:pPr>
            <w:r>
              <w:rPr/>
              <w:t>8,493</w:t>
            </w:r>
          </w:p>
        </w:tc>
        <w:tc>
          <w:tcPr>
            <w:tcW w:w="159" w:type="dxa"/>
            <w:tcBorders/>
            <w:shd w:fill="FFFFFF" w:val="clear"/>
            <w:vAlign w:val="center"/>
          </w:tcPr>
          <w:p>
            <w:pPr>
              <w:pStyle w:val="TableContents"/>
              <w:bidi w:val="0"/>
              <w:spacing w:before="0" w:after="283"/>
              <w:jc w:val="left"/>
              <w:rPr/>
            </w:pPr>
            <w:r>
              <w:rPr/>
              <w:t> </w:t>
            </w:r>
            <w:bookmarkStart w:id="167" w:name="xdx_406_eus-gaap--AccumulatedOtherCompre"/>
            <w:bookmarkEnd w:id="167"/>
          </w:p>
        </w:tc>
      </w:tr>
      <w:tr>
        <w:trPr/>
        <w:tc>
          <w:tcPr>
            <w:tcW w:w="6326"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bookmarkStart w:id="168" w:name="xdx_F29_zrMKqlDyU3f6"/>
            <w:bookmarkEnd w:id="168"/>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169" w:name="xdx_98B_eus-gaap--AccumulatedOtherCompre"/>
            <w:bookmarkEnd w:id="169"/>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w:t>
            </w:r>
            <w:bookmarkStart w:id="170" w:name="xdx_40B_eus-gaap--StockholdersEquity_i01"/>
            <w:bookmarkEnd w:id="170"/>
          </w:p>
        </w:tc>
      </w:tr>
      <w:tr>
        <w:trPr/>
        <w:tc>
          <w:tcPr>
            <w:tcW w:w="632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6,218</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16,699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1" w:name="xdx_989_eus-gaap--StockholdersEquity_i01"/>
            <w:bookmarkEnd w:id="171"/>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12,986</w:t>
            </w:r>
          </w:p>
        </w:tc>
        <w:tc>
          <w:tcPr>
            <w:tcW w:w="159" w:type="dxa"/>
            <w:tcBorders/>
            <w:shd w:fill="FFFFFF" w:val="clear"/>
            <w:vAlign w:val="center"/>
          </w:tcPr>
          <w:p>
            <w:pPr>
              <w:pStyle w:val="TableContents"/>
              <w:bidi w:val="0"/>
              <w:spacing w:before="0" w:after="283"/>
              <w:jc w:val="left"/>
              <w:rPr/>
            </w:pPr>
            <w:r>
              <w:rPr/>
              <w:t> </w:t>
            </w:r>
            <w:bookmarkStart w:id="172" w:name="xdx_40A_eus-gaap--LiabilitiesAndStockhol"/>
            <w:bookmarkEnd w:id="172"/>
          </w:p>
        </w:tc>
      </w:tr>
      <w:tr>
        <w:trPr/>
        <w:tc>
          <w:tcPr>
            <w:tcW w:w="6326"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71,047</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77,382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73" w:name="xdx_985_eus-gaap--LiabilitiesAndStockhol"/>
            <w:bookmarkEnd w:id="173"/>
          </w:p>
        </w:tc>
        <w:tc>
          <w:tcPr>
            <w:tcW w:w="820" w:type="dxa"/>
            <w:tcBorders/>
            <w:shd w:fill="CCEEFF" w:val="clear"/>
            <w:vAlign w:val="center"/>
          </w:tcPr>
          <w:p>
            <w:pPr>
              <w:pStyle w:val="TableContents"/>
              <w:bidi w:val="0"/>
              <w:spacing w:before="0" w:after="283"/>
              <w:jc w:val="right"/>
              <w:rPr/>
            </w:pPr>
            <w:r>
              <w:rPr/>
              <w:t>60,177</w:t>
            </w:r>
          </w:p>
        </w:tc>
        <w:tc>
          <w:tcPr>
            <w:tcW w:w="15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40"/>
        <w:gridCol w:w="60"/>
        <w:gridCol w:w="282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4" w:name="xdx_F06_z514uHKFmjNa"/>
            <w:bookmarkEnd w:id="174"/>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both"/>
              <w:rPr>
                <w:caps w:val="false"/>
                <w:smallCaps w:val="false"/>
              </w:rPr>
            </w:pPr>
            <w:bookmarkStart w:id="175" w:name="xdx_F18_zGDqoTpGDox8"/>
            <w:bookmarkEnd w:id="175"/>
            <w:r>
              <w:rPr>
                <w:caps w:val="false"/>
                <w:smallCaps w:val="false"/>
              </w:rPr>
              <w:t xml:space="preserve">– </w:t>
            </w:r>
            <w:r>
              <w:rPr>
                <w:rFonts w:ascii="Times New Roman;Times;Serif" w:hAnsi="Times New Roman;Times;Serif"/>
                <w:b w:val="false"/>
                <w:i w:val="false"/>
                <w:caps w:val="false"/>
                <w:smallCaps w:val="false"/>
                <w:sz w:val="20"/>
              </w:rPr>
              <w:t>denotes amount less than $’000.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60"/>
        <w:gridCol w:w="9935"/>
      </w:tblGrid>
      <w:tr>
        <w:trPr/>
        <w:tc>
          <w:tcPr>
            <w:tcW w:w="2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76" w:name="xdx_F06_z8sMDioblm12"/>
            <w:bookmarkEnd w:id="176"/>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7" w:name="xdx_F1B_zxbPhVNU50K6"/>
            <w:bookmarkEnd w:id="177"/>
            <w:r>
              <w:rPr>
                <w:rFonts w:ascii="Times New Roman;Times;Serif" w:hAnsi="Times New Roman;Times;Serif"/>
                <w:b w:val="false"/>
                <w:i w:val="false"/>
                <w:caps w:val="false"/>
                <w:smallCaps w:val="false"/>
                <w:sz w:val="20"/>
              </w:rPr>
              <w:t xml:space="preserve">- Retrospectively presented for the effect of pro rata share allotment, </w:t>
            </w:r>
            <w:bookmarkStart w:id="178" w:name="xdx_90E_eus-gaap--StockholdersEquityNote"/>
            <w:bookmarkEnd w:id="178"/>
            <w:r>
              <w:rPr>
                <w:rFonts w:ascii="Times New Roman;Times;Serif" w:hAnsi="Times New Roman;Times;Serif"/>
                <w:b w:val="false"/>
                <w:i w:val="false"/>
                <w:caps w:val="false"/>
                <w:smallCaps w:val="false"/>
                <w:sz w:val="20"/>
              </w:rPr>
              <w:t>1-for-40 forward split and share surrender in preparation of the Company’s initial public offering (Note 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9" w:name="sp_002"/>
      <w:bookmarkEnd w:id="179"/>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80" w:name="xdx_307_113_pn3n3_zyJVbtFm5Eee"/>
      <w:bookmarkStart w:id="181" w:name="xdx_307_113_pn3n3_zyJVbtFm5Eee"/>
      <w:bookmarkEnd w:id="181"/>
    </w:p>
    <w:tbl>
      <w:tblPr>
        <w:tblW w:w="9845" w:type="dxa"/>
        <w:jc w:val="left"/>
        <w:tblInd w:w="0" w:type="dxa"/>
        <w:tblLayout w:type="fixed"/>
        <w:tblCellMar>
          <w:top w:w="0" w:type="dxa"/>
          <w:left w:w="0" w:type="dxa"/>
          <w:bottom w:w="0" w:type="dxa"/>
          <w:right w:w="0" w:type="dxa"/>
        </w:tblCellMar>
      </w:tblPr>
      <w:tblGrid>
        <w:gridCol w:w="4670"/>
        <w:gridCol w:w="60"/>
        <w:gridCol w:w="410"/>
        <w:gridCol w:w="60"/>
        <w:gridCol w:w="60"/>
        <w:gridCol w:w="950"/>
        <w:gridCol w:w="80"/>
        <w:gridCol w:w="60"/>
        <w:gridCol w:w="60"/>
        <w:gridCol w:w="950"/>
        <w:gridCol w:w="80"/>
        <w:gridCol w:w="60"/>
        <w:gridCol w:w="60"/>
        <w:gridCol w:w="950"/>
        <w:gridCol w:w="125"/>
        <w:gridCol w:w="60"/>
        <w:gridCol w:w="60"/>
        <w:gridCol w:w="950"/>
        <w:gridCol w:w="140"/>
      </w:tblGrid>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2" w:name="xdx_494_20230101__20231231_zWrtW4R1bRma"/>
            <w:bookmarkEnd w:id="182"/>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3" w:name="xdx_498_20240101__20241231_zeSgqoOh1dNc"/>
            <w:bookmarkEnd w:id="183"/>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4" w:name="xdx_492_20250101__20251231_z0aP7WKoeu0k"/>
            <w:bookmarkEnd w:id="184"/>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2(d))</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5" w:name="xdx_40E_eus-gaap--Revenues_maGPznI9_z9uO"/>
            <w:bookmarkEnd w:id="185"/>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988_eus-gaap--Revenues_uUSD_c2025010"/>
            <w:bookmarkEnd w:id="186"/>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7" w:name="xdx_406_eus-gaap--CostOfRevenue_iN_di_ms"/>
            <w:bookmarkEnd w:id="187"/>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(57,562</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88" w:name="xdx_984_eus-gaap--CostOfRevenue_iN_di_uU"/>
            <w:bookmarkEnd w:id="188"/>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(44,764</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9" w:name="xdx_40B_eus-gaap--GrossProfit_iT_mtGPznI"/>
            <w:bookmarkEnd w:id="189"/>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0" w:name="xdx_987_eus-gaap--GrossProfit_iT_uUSD_c2"/>
            <w:bookmarkEnd w:id="190"/>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1" w:name="xdx_408_eus-gaap--OperatingCostsAndExpen"/>
            <w:bookmarkEnd w:id="191"/>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2" w:name="xdx_408_eus-gaap--SellingExpense_i01N_di"/>
            <w:bookmarkEnd w:id="192"/>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3" w:name="xdx_98F_eus-gaap--SellingExpense_i01N_di"/>
            <w:bookmarkEnd w:id="193"/>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4" w:name="xdx_409_eus-gaap--GeneralAndAdministrati"/>
            <w:bookmarkEnd w:id="194"/>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(10,666</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5" w:name="xdx_98A_eus-gaap--GeneralAndAdministrati"/>
            <w:bookmarkEnd w:id="195"/>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(8,295</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6" w:name="xdx_400_eus-gaap--OperatingCostsAndExpen"/>
            <w:bookmarkEnd w:id="196"/>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(11,426</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7" w:name="xdx_981_eus-gaap--OperatingCostsAndExpen"/>
            <w:bookmarkEnd w:id="197"/>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402_eus-gaap--OperatingIncomeLoss_iT"/>
            <w:bookmarkEnd w:id="198"/>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9" w:name="xdx_98D_eus-gaap--OperatingIncomeLoss_iT"/>
            <w:bookmarkEnd w:id="199"/>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0" w:name="xdx_40F_eus-gaap--OtherNonoperatingIncom"/>
            <w:bookmarkEnd w:id="200"/>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1" w:name="xdx_407_ecustom--GainFromDisposalOfRight"/>
            <w:bookmarkEnd w:id="201"/>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disposal of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2" w:name="xdx_984_ecustom--GainFromDisposalOfRight"/>
            <w:bookmarkEnd w:id="202"/>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3" w:name="xdx_40F_eus-gaap--GainLossOnDispositionO"/>
            <w:bookmarkEnd w:id="203"/>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disposal of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4" w:name="xdx_98A_eus-gaap--GainLossOnDispositionO"/>
            <w:bookmarkEnd w:id="204"/>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5" w:name="xdx_40F_eus-gaap--InvestmentIncomeIntere"/>
            <w:bookmarkEnd w:id="205"/>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98C_eus-gaap--InvestmentIncomeIntere"/>
            <w:bookmarkEnd w:id="206"/>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7" w:name="xdx_40E_eus-gaap--InterestExpenseNonoper"/>
            <w:bookmarkEnd w:id="207"/>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98A_eus-gaap--InterestExpenseNonoper"/>
            <w:bookmarkEnd w:id="208"/>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9" w:name="xdx_40E_ecustom--GovernmentGrant_i01_maN"/>
            <w:bookmarkEnd w:id="209"/>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0" w:name="xdx_986_ecustom--GovernmentGrant_i01_uUS"/>
            <w:bookmarkEnd w:id="210"/>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1" w:name="xdx_400_eus-gaap--ProvisionForDoubtfulAc"/>
            <w:bookmarkEnd w:id="211"/>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back of allowance for credit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2" w:name="xdx_983_eus-gaap--ProvisionForDoubtfulAc"/>
            <w:bookmarkEnd w:id="212"/>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3" w:name="xdx_40A_ecustom--AllowanceForInventories"/>
            <w:bookmarkEnd w:id="213"/>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back of allowance for inventories obsolescence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4" w:name="xdx_981_ecustom--AllowanceForInventories"/>
            <w:bookmarkEnd w:id="21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5" w:name="xdx_404_eus-gaap--ForeignCurrencyTransac"/>
            <w:bookmarkEnd w:id="215"/>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6" w:name="xdx_984_eus-gaap--ForeignCurrencyTransac"/>
            <w:bookmarkEnd w:id="216"/>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7" w:name="xdx_409_eus-gaap--OtherNonoperatingIncom"/>
            <w:bookmarkEnd w:id="217"/>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8" w:name="xdx_982_eus-gaap--OtherNonoperatingIncom"/>
            <w:bookmarkEnd w:id="218"/>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9" w:name="xdx_404_eus-gaap--NonoperatingIncomeExpe"/>
            <w:bookmarkEnd w:id="219"/>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0" w:name="xdx_980_eus-gaap--NonoperatingIncomeExpe"/>
            <w:bookmarkEnd w:id="220"/>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 w:name="xdx_409_eus-gaap--IncomeLossFromContinui"/>
            <w:bookmarkEnd w:id="221"/>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7,163</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 w:name="xdx_987_eus-gaap--IncomeLossFromContinui"/>
            <w:bookmarkEnd w:id="222"/>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40A_eus-gaap--IncomeTaxExpenseBenefi"/>
            <w:bookmarkEnd w:id="223"/>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4" w:name="xdx_982_eus-gaap--IncomeTaxExpenseBenefi"/>
            <w:bookmarkEnd w:id="224"/>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 w:name="xdx_40F_eus-gaap--NetIncomeLoss_iT_mtNIL"/>
            <w:bookmarkEnd w:id="225"/>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6" w:name="xdx_985_eus-gaap--NetIncomeLoss_iT_uUSD_"/>
            <w:bookmarkEnd w:id="226"/>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7" w:name="xdx_40A_eus-gaap--ComprehensiveIncomeNet"/>
            <w:bookmarkEnd w:id="227"/>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 w:name="xdx_401_eus-gaap--OtherComprehensiveInco"/>
            <w:bookmarkEnd w:id="228"/>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9" w:name="xdx_F2A_zpACFLxdusQh"/>
            <w:bookmarkEnd w:id="229"/>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0" w:name="xdx_985_eus-gaap--OtherComprehensiveInco"/>
            <w:bookmarkEnd w:id="230"/>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 w:name="xdx_40D_eus-gaap--ComprehensiveIncomeNet"/>
            <w:bookmarkEnd w:id="231"/>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2" w:name="xdx_984_eus-gaap--ComprehensiveIncomeNet"/>
            <w:bookmarkEnd w:id="232"/>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7_eus-gaap--EarningsPerShareAbstra"/>
            <w:bookmarkEnd w:id="233"/>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4" w:name="xdx_90E_eus-gaap--EarningsPerShareDilute"/>
            <w:bookmarkStart w:id="235" w:name="xdx_90E_eus-gaap--EarningsPerShareBasic_"/>
            <w:bookmarkEnd w:id="234"/>
            <w:bookmarkEnd w:id="235"/>
            <w:r>
              <w:rPr>
                <w:rFonts w:ascii="Times New Roman;Times;Serif" w:hAnsi="Times New Roman;Times;Serif"/>
                <w:b w:val="false"/>
                <w:i w:val="false"/>
                <w:caps w:val="false"/>
                <w:smallCaps w:val="false"/>
                <w:sz w:val="20"/>
              </w:rPr>
              <w:t>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6" w:name="xdx_906_eus-gaap--EarningsPerShareDilute"/>
            <w:bookmarkStart w:id="237" w:name="xdx_90F_eus-gaap--EarningsPerShareBasic_"/>
            <w:bookmarkEnd w:id="236"/>
            <w:bookmarkEnd w:id="237"/>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8" w:name="xdx_906_eus-gaap--EarningsPerShareDilute"/>
            <w:bookmarkStart w:id="239" w:name="xdx_905_eus-gaap--EarningsPerShareBasic_"/>
            <w:bookmarkEnd w:id="238"/>
            <w:bookmarkEnd w:id="239"/>
            <w:r>
              <w:rPr>
                <w:rFonts w:ascii="Times New Roman;Times;Serif" w:hAnsi="Times New Roman;Times;Serif"/>
                <w:b w:val="false"/>
                <w:i w:val="false"/>
                <w:caps w:val="false"/>
                <w:smallCaps w:val="false"/>
                <w:sz w:val="20"/>
              </w:rPr>
              <w:t>0.20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0" w:name="xdx_90F_eus-gaap--EarningsPerShareDilute"/>
            <w:bookmarkStart w:id="241" w:name="xdx_903_eus-gaap--EarningsPerShareBasic_"/>
            <w:bookmarkEnd w:id="240"/>
            <w:bookmarkEnd w:id="241"/>
            <w:r>
              <w:rPr>
                <w:rFonts w:ascii="Times New Roman;Times;Serif" w:hAnsi="Times New Roman;Times;Serif"/>
                <w:b w:val="false"/>
                <w:i w:val="false"/>
                <w:caps w:val="false"/>
                <w:smallCaps w:val="false"/>
                <w:sz w:val="20"/>
              </w:rPr>
              <w:t>0.15</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2" w:name="xdx_40A_eus-gaap--WeightedAverageNumberO"/>
            <w:bookmarkEnd w:id="242"/>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3" w:name="xdx_905_eus-gaap--WeightedAverageNumberO"/>
            <w:bookmarkStart w:id="244" w:name="xdx_90C_eus-gaap--WeightedAverageNumberO"/>
            <w:bookmarkEnd w:id="243"/>
            <w:bookmarkEnd w:id="244"/>
            <w:r>
              <w:rPr>
                <w:rFonts w:ascii="Times New Roman;Times;Serif" w:hAnsi="Times New Roman;Times;Serif"/>
                <w:b w:val="false"/>
                <w:i w:val="false"/>
                <w:caps w:val="false"/>
                <w:smallCaps w:val="false"/>
                <w:sz w:val="20"/>
              </w:rPr>
              <w:t>27,796,502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 w:name="xdx_90F_eus-gaap--WeightedAverageNumberO"/>
            <w:bookmarkStart w:id="246" w:name="xdx_90E_eus-gaap--WeightedAverageNumberO"/>
            <w:bookmarkEnd w:id="245"/>
            <w:bookmarkEnd w:id="246"/>
            <w:r>
              <w:rPr>
                <w:rFonts w:ascii="Times New Roman;Times;Serif" w:hAnsi="Times New Roman;Times;Serif"/>
                <w:b w:val="false"/>
                <w:i w:val="false"/>
                <w:caps w:val="false"/>
                <w:smallCaps w:val="false"/>
                <w:sz w:val="20"/>
              </w:rPr>
              <w:t>27,796,502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7" w:name="xdx_905_eus-gaap--WeightedAverageNumberO"/>
            <w:bookmarkStart w:id="248" w:name="xdx_90B_eus-gaap--WeightedAverageNumberO"/>
            <w:bookmarkEnd w:id="247"/>
            <w:bookmarkEnd w:id="248"/>
            <w:r>
              <w:rPr>
                <w:rFonts w:ascii="Times New Roman;Times;Serif" w:hAnsi="Times New Roman;Times;Serif"/>
                <w:b w:val="false"/>
                <w:i w:val="false"/>
                <w:caps w:val="false"/>
                <w:smallCaps w:val="false"/>
                <w:sz w:val="20"/>
              </w:rPr>
              <w:t>28,571,789</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9" w:name="xdx_906_eus-gaap--WeightedAverageNumberO"/>
            <w:bookmarkStart w:id="250" w:name="xdx_90B_eus-gaap--WeightedAverageNumberO"/>
            <w:bookmarkEnd w:id="249"/>
            <w:bookmarkEnd w:id="250"/>
            <w:r>
              <w:rPr>
                <w:rFonts w:ascii="Times New Roman;Times;Serif" w:hAnsi="Times New Roman;Times;Serif"/>
                <w:b w:val="false"/>
                <w:i w:val="false"/>
                <w:caps w:val="false"/>
                <w:smallCaps w:val="false"/>
                <w:sz w:val="20"/>
              </w:rPr>
              <w:t>28,571,789</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60"/>
        <w:gridCol w:w="9968"/>
      </w:tblGrid>
      <w:tr>
        <w:trPr/>
        <w:tc>
          <w:tcPr>
            <w:tcW w:w="17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51" w:name="xdx_F08_zOSfSkOP3bnc"/>
            <w:bookmarkEnd w:id="251"/>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52" w:name="xdx_F19_z6hETniUumih"/>
            <w:bookmarkEnd w:id="252"/>
          </w:p>
        </w:tc>
        <w:tc>
          <w:tcPr>
            <w:tcW w:w="9968"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denotes amount less than $’000.</w:t>
            </w:r>
            <w:bookmarkStart w:id="253" w:name="xdx_F0C_zXSV5R8YtoWe"/>
            <w:bookmarkEnd w:id="253"/>
          </w:p>
        </w:tc>
      </w:tr>
      <w:tr>
        <w:trPr/>
        <w:tc>
          <w:tcPr>
            <w:tcW w:w="17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4" w:name="xdx_F19_zfkT3yjTXpwf"/>
            <w:bookmarkEnd w:id="254"/>
            <w:r>
              <w:rPr>
                <w:rFonts w:ascii="Times New Roman;Times;Serif" w:hAnsi="Times New Roman;Times;Serif"/>
                <w:b w:val="false"/>
                <w:i w:val="false"/>
                <w:caps w:val="false"/>
                <w:smallCaps w:val="false"/>
                <w:sz w:val="20"/>
              </w:rPr>
              <w:t xml:space="preserve">Basic earnings per share is calculated by dividing net income for the period, net of tax, by the weighted average number of ordinary shares outstanding during the financial period. The basic and diluted earnings per share are the same as there were no other outstanding convertibles or other dilutive equity instruments.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5" w:name="sp_003"/>
      <w:bookmarkEnd w:id="255"/>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6" w:name="xdx_300_114_pn3n3_zIoCSDwxPkod"/>
      <w:bookmarkStart w:id="257" w:name="xdx_300_114_pn3n3_zIoCSDwxPkod"/>
      <w:bookmarkEnd w:id="257"/>
    </w:p>
    <w:tbl>
      <w:tblPr>
        <w:tblW w:w="10205" w:type="dxa"/>
        <w:jc w:val="left"/>
        <w:tblInd w:w="0" w:type="dxa"/>
        <w:tblLayout w:type="fixed"/>
        <w:tblCellMar>
          <w:top w:w="0" w:type="dxa"/>
          <w:left w:w="0" w:type="dxa"/>
          <w:bottom w:w="0" w:type="dxa"/>
          <w:right w:w="0" w:type="dxa"/>
        </w:tblCellMar>
      </w:tblPr>
      <w:tblGrid>
        <w:gridCol w:w="3217"/>
        <w:gridCol w:w="60"/>
        <w:gridCol w:w="60"/>
        <w:gridCol w:w="1100"/>
        <w:gridCol w:w="60"/>
        <w:gridCol w:w="60"/>
        <w:gridCol w:w="160"/>
        <w:gridCol w:w="535"/>
        <w:gridCol w:w="140"/>
        <w:gridCol w:w="60"/>
        <w:gridCol w:w="89"/>
        <w:gridCol w:w="831"/>
        <w:gridCol w:w="60"/>
        <w:gridCol w:w="60"/>
        <w:gridCol w:w="62"/>
        <w:gridCol w:w="708"/>
        <w:gridCol w:w="95"/>
        <w:gridCol w:w="60"/>
        <w:gridCol w:w="170"/>
        <w:gridCol w:w="1125"/>
        <w:gridCol w:w="140"/>
        <w:gridCol w:w="60"/>
        <w:gridCol w:w="94"/>
        <w:gridCol w:w="1087"/>
        <w:gridCol w:w="112"/>
      </w:tblGrid>
      <w:tr>
        <w:trPr/>
        <w:tc>
          <w:tcPr>
            <w:tcW w:w="3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258" w:name="xdx_4BA_us-gaap--StatementEquityComponen"/>
            <w:bookmarkEnd w:id="258"/>
          </w:p>
        </w:tc>
        <w:tc>
          <w:tcPr>
            <w:tcW w:w="53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59" w:name="xdx_4BF_us-gaap--StatementEquityComponen"/>
            <w:bookmarkEnd w:id="259"/>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260" w:name="xdx_4BD_us-gaap--StatementEquityComponen"/>
            <w:bookmarkEnd w:id="260"/>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261" w:name="xdx_4B2_us-gaap--StatementEquityComponen"/>
            <w:bookmarkEnd w:id="261"/>
          </w:p>
        </w:tc>
        <w:tc>
          <w:tcPr>
            <w:tcW w:w="112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262" w:name="xdx_4B7_zTHe6hOEGIq6"/>
            <w:bookmarkEnd w:id="262"/>
          </w:p>
        </w:tc>
        <w:tc>
          <w:tcPr>
            <w:tcW w:w="10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1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263" w:name="xdx_43C_c20230101__20231231_eus-gaap--St"/>
            <w:bookmarkEnd w:id="263"/>
          </w:p>
        </w:tc>
      </w:tr>
      <w:tr>
        <w:trPr/>
        <w:tc>
          <w:tcPr>
            <w:tcW w:w="3217" w:type="dxa"/>
            <w:tcBorders/>
            <w:shd w:fill="CCEEFF" w:val="clear"/>
            <w:vAlign w:val="center"/>
          </w:tcPr>
          <w:p>
            <w:pPr>
              <w:pStyle w:val="TableContents"/>
              <w:bidi w:val="0"/>
              <w:spacing w:before="0" w:after="283"/>
              <w:jc w:val="left"/>
              <w:rPr/>
            </w:pPr>
            <w:r>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4" w:name="xdx_98F_eus-gaap--SharesOutstanding_iS_p"/>
            <w:bookmarkEnd w:id="264"/>
          </w:p>
        </w:tc>
        <w:tc>
          <w:tcPr>
            <w:tcW w:w="1100" w:type="dxa"/>
            <w:tcBorders/>
            <w:shd w:fill="CCEEFF" w:val="clear"/>
            <w:vAlign w:val="center"/>
          </w:tcPr>
          <w:p>
            <w:pPr>
              <w:pStyle w:val="TableContents"/>
              <w:bidi w:val="0"/>
              <w:spacing w:before="0" w:after="283"/>
              <w:jc w:val="right"/>
              <w:rPr/>
            </w:pPr>
            <w:r>
              <w:rPr/>
              <w:t>27,796,502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bookmarkStart w:id="265" w:name="xdx_F26_z8Nj2kjOJyR"/>
            <w:bookmarkEnd w:id="265"/>
            <w:r>
              <w:rPr>
                <w:sz w:val="20"/>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3,254</w:t>
            </w:r>
          </w:p>
        </w:tc>
        <w:tc>
          <w:tcPr>
            <w:tcW w:w="112" w:type="dxa"/>
            <w:tcBorders/>
            <w:shd w:fill="CCEEFF" w:val="clear"/>
            <w:vAlign w:val="center"/>
          </w:tcPr>
          <w:p>
            <w:pPr>
              <w:pStyle w:val="TableContents"/>
              <w:bidi w:val="0"/>
              <w:spacing w:before="0" w:after="283"/>
              <w:jc w:val="left"/>
              <w:rPr/>
            </w:pPr>
            <w:r>
              <w:rPr/>
              <w:t> </w:t>
            </w:r>
            <w:bookmarkStart w:id="266" w:name="xdx_40B_eus-gaap--Dividends_iN_di_zxi2Tc"/>
            <w:bookmarkEnd w:id="266"/>
          </w:p>
        </w:tc>
      </w:tr>
      <w:tr>
        <w:trPr/>
        <w:tc>
          <w:tcPr>
            <w:tcW w:w="3217" w:type="dxa"/>
            <w:tcBorders/>
            <w:shd w:fill="FFFFFF" w:val="clear"/>
            <w:vAlign w:val="center"/>
          </w:tcPr>
          <w:p>
            <w:pPr>
              <w:pStyle w:val="TableContents"/>
              <w:bidi w:val="0"/>
              <w:spacing w:before="0" w:after="283"/>
              <w:jc w:val="left"/>
              <w:rPr/>
            </w:pPr>
            <w:r>
              <w:rPr/>
              <w:t>Dividends declared to the former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(6,000</w:t>
            </w:r>
          </w:p>
        </w:tc>
        <w:tc>
          <w:tcPr>
            <w:tcW w:w="112" w:type="dxa"/>
            <w:tcBorders/>
            <w:shd w:fill="FFFFFF" w:val="clear"/>
            <w:vAlign w:val="center"/>
          </w:tcPr>
          <w:p>
            <w:pPr>
              <w:pStyle w:val="TableContents"/>
              <w:bidi w:val="0"/>
              <w:spacing w:before="0" w:after="283"/>
              <w:jc w:val="left"/>
              <w:rPr/>
            </w:pPr>
            <w:r>
              <w:rPr/>
              <w:t>)</w:t>
            </w:r>
            <w:bookmarkStart w:id="267" w:name="xdx_407_eus-gaap--NetIncomeLoss_zIsEkef0"/>
            <w:bookmarkEnd w:id="267"/>
          </w:p>
        </w:tc>
      </w:tr>
      <w:tr>
        <w:trPr/>
        <w:tc>
          <w:tcPr>
            <w:tcW w:w="3217" w:type="dxa"/>
            <w:tcBorders/>
            <w:shd w:fill="CCEEFF" w:val="clear"/>
            <w:vAlign w:val="center"/>
          </w:tcPr>
          <w:p>
            <w:pPr>
              <w:pStyle w:val="TableContents"/>
              <w:bidi w:val="0"/>
              <w:spacing w:before="0" w:after="283"/>
              <w:jc w:val="left"/>
              <w:rPr/>
            </w:pPr>
            <w:r>
              <w:rPr/>
              <w:t>Net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7,080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7,080</w:t>
            </w:r>
          </w:p>
        </w:tc>
        <w:tc>
          <w:tcPr>
            <w:tcW w:w="112" w:type="dxa"/>
            <w:tcBorders/>
            <w:shd w:fill="CCEEFF" w:val="clear"/>
            <w:vAlign w:val="center"/>
          </w:tcPr>
          <w:p>
            <w:pPr>
              <w:pStyle w:val="TableContents"/>
              <w:bidi w:val="0"/>
              <w:spacing w:before="0" w:after="283"/>
              <w:jc w:val="left"/>
              <w:rPr/>
            </w:pPr>
            <w:r>
              <w:rPr/>
              <w:t> </w:t>
            </w:r>
            <w:bookmarkStart w:id="268" w:name="xdx_437_c20230101__20231231_eus-gaap--St"/>
            <w:bookmarkEnd w:id="268"/>
          </w:p>
        </w:tc>
      </w:tr>
      <w:tr>
        <w:trPr/>
        <w:tc>
          <w:tcPr>
            <w:tcW w:w="3217" w:type="dxa"/>
            <w:tcBorders/>
            <w:shd w:fill="FFFFFF" w:val="clear"/>
            <w:vAlign w:val="center"/>
          </w:tcPr>
          <w:p>
            <w:pPr>
              <w:pStyle w:val="TableContents"/>
              <w:bidi w:val="0"/>
              <w:spacing w:before="0" w:after="283"/>
              <w:jc w:val="left"/>
              <w:rPr/>
            </w:pPr>
            <w:r>
              <w:rPr/>
              <w:t>Balance as of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9" w:name="xdx_982_eus-gaap--SharesOutstanding_iE_p"/>
            <w:bookmarkEnd w:id="26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27,796,502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bookmarkStart w:id="270" w:name="xdx_F29_z28puIp396q5"/>
            <w:bookmarkEnd w:id="270"/>
            <w:r>
              <w:rPr>
                <w:sz w:val="20"/>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3,451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4,334</w:t>
            </w:r>
          </w:p>
        </w:tc>
        <w:tc>
          <w:tcPr>
            <w:tcW w:w="112" w:type="dxa"/>
            <w:tcBorders/>
            <w:shd w:fill="FFFFFF" w:val="clear"/>
            <w:vAlign w:val="center"/>
          </w:tcPr>
          <w:p>
            <w:pPr>
              <w:pStyle w:val="TableContents"/>
              <w:bidi w:val="0"/>
              <w:spacing w:before="0" w:after="283"/>
              <w:jc w:val="left"/>
              <w:rPr/>
            </w:pPr>
            <w:r>
              <w:rPr/>
              <w:t> </w:t>
            </w:r>
          </w:p>
        </w:tc>
      </w:tr>
      <w:tr>
        <w:trPr/>
        <w:tc>
          <w:tcPr>
            <w:tcW w:w="3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1" w:name="xdx_43C_c20240101__20241231_eus-gaap--St"/>
            <w:bookmarkEnd w:id="271"/>
          </w:p>
        </w:tc>
      </w:tr>
      <w:tr>
        <w:trPr/>
        <w:tc>
          <w:tcPr>
            <w:tcW w:w="3217" w:type="dxa"/>
            <w:tcBorders/>
            <w:shd w:fill="FFFFFF" w:val="clear"/>
            <w:vAlign w:val="center"/>
          </w:tcPr>
          <w:p>
            <w:pPr>
              <w:pStyle w:val="TableContents"/>
              <w:bidi w:val="0"/>
              <w:spacing w:before="0" w:after="283"/>
              <w:jc w:val="left"/>
              <w:rPr/>
            </w:pPr>
            <w:r>
              <w:rPr/>
              <w:t>Balance as of 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2" w:name="xdx_983_eus-gaap--SharesOutstanding_iS_p"/>
            <w:bookmarkEnd w:id="272"/>
          </w:p>
        </w:tc>
        <w:tc>
          <w:tcPr>
            <w:tcW w:w="1100" w:type="dxa"/>
            <w:tcBorders/>
            <w:shd w:fill="FFFFFF" w:val="clear"/>
            <w:vAlign w:val="center"/>
          </w:tcPr>
          <w:p>
            <w:pPr>
              <w:pStyle w:val="TableContents"/>
              <w:bidi w:val="0"/>
              <w:spacing w:before="0" w:after="283"/>
              <w:jc w:val="right"/>
              <w:rPr/>
            </w:pPr>
            <w:r>
              <w:rPr/>
              <w:t>27,796,502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w:t>
            </w:r>
            <w:bookmarkStart w:id="273" w:name="xdx_F24_znqWhhPE9d25"/>
            <w:bookmarkEnd w:id="273"/>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3,451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4,334</w:t>
            </w:r>
          </w:p>
        </w:tc>
        <w:tc>
          <w:tcPr>
            <w:tcW w:w="112" w:type="dxa"/>
            <w:tcBorders/>
            <w:shd w:fill="FFFFFF" w:val="clear"/>
            <w:vAlign w:val="center"/>
          </w:tcPr>
          <w:p>
            <w:pPr>
              <w:pStyle w:val="TableContents"/>
              <w:bidi w:val="0"/>
              <w:spacing w:before="0" w:after="283"/>
              <w:jc w:val="left"/>
              <w:rPr/>
            </w:pPr>
            <w:r>
              <w:rPr/>
              <w:t> </w:t>
            </w:r>
            <w:bookmarkStart w:id="274" w:name="xdx_407_eus-gaap--NetIncomeLoss_zf7g9Y0m"/>
            <w:bookmarkEnd w:id="274"/>
          </w:p>
        </w:tc>
      </w:tr>
      <w:tr>
        <w:trPr/>
        <w:tc>
          <w:tcPr>
            <w:tcW w:w="3217" w:type="dxa"/>
            <w:tcBorders/>
            <w:shd w:fill="CCEEFF" w:val="clear"/>
            <w:vAlign w:val="center"/>
          </w:tcPr>
          <w:p>
            <w:pPr>
              <w:pStyle w:val="TableContents"/>
              <w:bidi w:val="0"/>
              <w:spacing w:before="0" w:after="283"/>
              <w:jc w:val="left"/>
              <w:rPr/>
            </w:pPr>
            <w:r>
              <w:rPr/>
              <w:t>Net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1,884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1,884</w:t>
            </w:r>
          </w:p>
        </w:tc>
        <w:tc>
          <w:tcPr>
            <w:tcW w:w="112" w:type="dxa"/>
            <w:tcBorders/>
            <w:shd w:fill="CCEEFF" w:val="clear"/>
            <w:vAlign w:val="center"/>
          </w:tcPr>
          <w:p>
            <w:pPr>
              <w:pStyle w:val="TableContents"/>
              <w:bidi w:val="0"/>
              <w:spacing w:before="0" w:after="283"/>
              <w:jc w:val="left"/>
              <w:rPr/>
            </w:pPr>
            <w:r>
              <w:rPr/>
              <w:t> </w:t>
            </w:r>
            <w:bookmarkStart w:id="275" w:name="xdx_433_c20240101__20241231_eus-gaap--St"/>
            <w:bookmarkEnd w:id="275"/>
          </w:p>
        </w:tc>
      </w:tr>
      <w:tr>
        <w:trPr/>
        <w:tc>
          <w:tcPr>
            <w:tcW w:w="3217" w:type="dxa"/>
            <w:tcBorders/>
            <w:shd w:fill="FFFFFF" w:val="clear"/>
            <w:vAlign w:val="center"/>
          </w:tcPr>
          <w:p>
            <w:pPr>
              <w:pStyle w:val="TableContents"/>
              <w:bidi w:val="0"/>
              <w:spacing w:before="0" w:after="283"/>
              <w:jc w:val="left"/>
              <w:rPr/>
            </w:pPr>
            <w:r>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6" w:name="xdx_987_eus-gaap--SharesOutstanding_iE_p"/>
            <w:bookmarkEnd w:id="27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27,796,502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bookmarkStart w:id="277" w:name="xdx_F27_zba58gXnwBZc"/>
            <w:bookmarkEnd w:id="277"/>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5,335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6,218</w:t>
            </w:r>
          </w:p>
        </w:tc>
        <w:tc>
          <w:tcPr>
            <w:tcW w:w="112" w:type="dxa"/>
            <w:tcBorders/>
            <w:shd w:fill="FFFFFF" w:val="clear"/>
            <w:vAlign w:val="center"/>
          </w:tcPr>
          <w:p>
            <w:pPr>
              <w:pStyle w:val="TableContents"/>
              <w:bidi w:val="0"/>
              <w:spacing w:before="0" w:after="283"/>
              <w:jc w:val="left"/>
              <w:rPr/>
            </w:pPr>
            <w:r>
              <w:rPr/>
              <w:t> </w:t>
            </w:r>
          </w:p>
        </w:tc>
      </w:tr>
      <w:tr>
        <w:trPr/>
        <w:tc>
          <w:tcPr>
            <w:tcW w:w="3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8" w:name="xdx_433_c20250101__20251231_eus-gaap--St"/>
            <w:bookmarkEnd w:id="278"/>
          </w:p>
        </w:tc>
      </w:tr>
      <w:tr>
        <w:trPr/>
        <w:tc>
          <w:tcPr>
            <w:tcW w:w="3217" w:type="dxa"/>
            <w:tcBorders/>
            <w:shd w:fill="FFFFFF" w:val="clear"/>
            <w:vAlign w:val="center"/>
          </w:tcPr>
          <w:p>
            <w:pPr>
              <w:pStyle w:val="TableContents"/>
              <w:bidi w:val="0"/>
              <w:spacing w:before="0" w:after="283"/>
              <w:jc w:val="left"/>
              <w:rPr/>
            </w:pPr>
            <w:r>
              <w:rPr/>
              <w:t>Balance as of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9" w:name="xdx_989_eus-gaap--SharesOutstanding_iS_p"/>
            <w:bookmarkEnd w:id="279"/>
          </w:p>
        </w:tc>
        <w:tc>
          <w:tcPr>
            <w:tcW w:w="1100" w:type="dxa"/>
            <w:tcBorders/>
            <w:shd w:fill="FFFFFF" w:val="clear"/>
            <w:vAlign w:val="center"/>
          </w:tcPr>
          <w:p>
            <w:pPr>
              <w:pStyle w:val="TableContents"/>
              <w:bidi w:val="0"/>
              <w:spacing w:before="0" w:after="283"/>
              <w:jc w:val="right"/>
              <w:rPr/>
            </w:pPr>
            <w:r>
              <w:rPr/>
              <w:t>27,796,502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w:t>
            </w:r>
            <w:bookmarkStart w:id="280" w:name="xdx_F2E_z9akUL0tztmi"/>
            <w:bookmarkEnd w:id="280"/>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5,335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6,218</w:t>
            </w:r>
          </w:p>
        </w:tc>
        <w:tc>
          <w:tcPr>
            <w:tcW w:w="112" w:type="dxa"/>
            <w:tcBorders/>
            <w:shd w:fill="FFFFFF" w:val="clear"/>
            <w:vAlign w:val="center"/>
          </w:tcPr>
          <w:p>
            <w:pPr>
              <w:pStyle w:val="TableContents"/>
              <w:bidi w:val="0"/>
              <w:spacing w:before="0" w:after="283"/>
              <w:jc w:val="left"/>
              <w:rPr/>
            </w:pPr>
            <w:r>
              <w:rPr/>
              <w:t> </w:t>
            </w:r>
            <w:bookmarkStart w:id="281" w:name="xdx_433_c20250101__20251231_eus-gaap--St"/>
            <w:bookmarkEnd w:id="281"/>
          </w:p>
        </w:tc>
      </w:tr>
      <w:tr>
        <w:trPr/>
        <w:tc>
          <w:tcPr>
            <w:tcW w:w="3217"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2" w:name="xdx_989_eus-gaap--SharesOutstanding_iS_p"/>
            <w:bookmarkEnd w:id="282"/>
          </w:p>
        </w:tc>
        <w:tc>
          <w:tcPr>
            <w:tcW w:w="1100" w:type="dxa"/>
            <w:tcBorders/>
            <w:shd w:fill="CCEEFF" w:val="clear"/>
            <w:vAlign w:val="center"/>
          </w:tcPr>
          <w:p>
            <w:pPr>
              <w:pStyle w:val="TableContents"/>
              <w:bidi w:val="0"/>
              <w:spacing w:before="0" w:after="283"/>
              <w:jc w:val="right"/>
              <w:rPr/>
            </w:pPr>
            <w:r>
              <w:rPr/>
              <w:t>27,796,502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w:t>
            </w:r>
            <w:bookmarkStart w:id="283" w:name="xdx_F2E_zwhbS8FcKmgh"/>
            <w:bookmarkEnd w:id="283"/>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5,335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6,218</w:t>
            </w:r>
          </w:p>
        </w:tc>
        <w:tc>
          <w:tcPr>
            <w:tcW w:w="112" w:type="dxa"/>
            <w:tcBorders/>
            <w:shd w:fill="CCEEFF" w:val="clear"/>
            <w:vAlign w:val="center"/>
          </w:tcPr>
          <w:p>
            <w:pPr>
              <w:pStyle w:val="TableContents"/>
              <w:bidi w:val="0"/>
              <w:spacing w:before="0" w:after="283"/>
              <w:jc w:val="left"/>
              <w:rPr/>
            </w:pPr>
            <w:r>
              <w:rPr/>
              <w:t> </w:t>
            </w:r>
          </w:p>
        </w:tc>
      </w:tr>
      <w:tr>
        <w:trPr/>
        <w:tc>
          <w:tcPr>
            <w:tcW w:w="3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4" w:name="xdx_40F_eus-gaap--StockIssuedDuringPerio"/>
            <w:bookmarkEnd w:id="284"/>
          </w:p>
        </w:tc>
      </w:tr>
      <w:tr>
        <w:trPr/>
        <w:tc>
          <w:tcPr>
            <w:tcW w:w="3217" w:type="dxa"/>
            <w:tcBorders/>
            <w:shd w:fill="FFFFFF" w:val="clear"/>
            <w:vAlign w:val="center"/>
          </w:tcPr>
          <w:p>
            <w:pPr>
              <w:pStyle w:val="TableContents"/>
              <w:bidi w:val="0"/>
              <w:spacing w:before="0" w:after="283"/>
              <w:jc w:val="left"/>
              <w:rPr/>
            </w:pPr>
            <w:r>
              <w:rPr/>
              <w:t>New shares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5" w:name="xdx_987_eus-gaap--StockIssuedDuringPerio"/>
            <w:bookmarkEnd w:id="285"/>
          </w:p>
        </w:tc>
        <w:tc>
          <w:tcPr>
            <w:tcW w:w="1100" w:type="dxa"/>
            <w:tcBorders/>
            <w:shd w:fill="FFFFFF" w:val="clear"/>
            <w:vAlign w:val="center"/>
          </w:tcPr>
          <w:p>
            <w:pPr>
              <w:pStyle w:val="TableContents"/>
              <w:bidi w:val="0"/>
              <w:spacing w:before="0" w:after="283"/>
              <w:jc w:val="right"/>
              <w:rPr/>
            </w:pPr>
            <w:r>
              <w:rPr/>
              <w:t>1,607,840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4,895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4,895</w:t>
            </w:r>
          </w:p>
        </w:tc>
        <w:tc>
          <w:tcPr>
            <w:tcW w:w="112" w:type="dxa"/>
            <w:tcBorders/>
            <w:shd w:fill="FFFFFF" w:val="clear"/>
            <w:vAlign w:val="center"/>
          </w:tcPr>
          <w:p>
            <w:pPr>
              <w:pStyle w:val="TableContents"/>
              <w:bidi w:val="0"/>
              <w:spacing w:before="0" w:after="283"/>
              <w:jc w:val="left"/>
              <w:rPr/>
            </w:pPr>
            <w:r>
              <w:rPr/>
              <w:t> </w:t>
            </w:r>
            <w:bookmarkStart w:id="286" w:name="xdx_40A_eus-gaap--NetIncomeLoss_zYCgtr0h"/>
            <w:bookmarkEnd w:id="286"/>
          </w:p>
        </w:tc>
      </w:tr>
      <w:tr>
        <w:trPr/>
        <w:tc>
          <w:tcPr>
            <w:tcW w:w="3217" w:type="dxa"/>
            <w:tcBorders/>
            <w:shd w:fill="CCEEFF" w:val="clear"/>
            <w:vAlign w:val="center"/>
          </w:tcPr>
          <w:p>
            <w:pPr>
              <w:pStyle w:val="TableContents"/>
              <w:bidi w:val="0"/>
              <w:spacing w:before="0" w:after="283"/>
              <w:jc w:val="left"/>
              <w:rPr/>
            </w:pPr>
            <w:r>
              <w:rPr/>
              <w:t>Net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5,586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5,586</w:t>
            </w:r>
          </w:p>
        </w:tc>
        <w:tc>
          <w:tcPr>
            <w:tcW w:w="112" w:type="dxa"/>
            <w:tcBorders/>
            <w:shd w:fill="CCEEFF" w:val="clear"/>
            <w:vAlign w:val="center"/>
          </w:tcPr>
          <w:p>
            <w:pPr>
              <w:pStyle w:val="TableContents"/>
              <w:bidi w:val="0"/>
              <w:spacing w:before="0" w:after="283"/>
              <w:jc w:val="left"/>
              <w:rPr/>
            </w:pPr>
            <w:r>
              <w:rPr/>
              <w:t> </w:t>
            </w:r>
            <w:bookmarkStart w:id="287" w:name="xdx_406_eus-gaap--OtherComprehensiveInco"/>
            <w:bookmarkEnd w:id="287"/>
          </w:p>
        </w:tc>
      </w:tr>
      <w:tr>
        <w:trPr/>
        <w:tc>
          <w:tcPr>
            <w:tcW w:w="3217"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bookmarkStart w:id="288" w:name="xdx_F25_zxNiV967mLa5"/>
            <w:bookmarkEnd w:id="288"/>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9" w:name="xdx_437_c20250101__20251231_eus-gaap--St"/>
            <w:bookmarkEnd w:id="289"/>
          </w:p>
        </w:tc>
      </w:tr>
      <w:tr>
        <w:trPr/>
        <w:tc>
          <w:tcPr>
            <w:tcW w:w="3217"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0" w:name="xdx_985_eus-gaap--SharesOutstanding_iE_p"/>
            <w:bookmarkEnd w:id="29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29,404,342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bookmarkStart w:id="291" w:name="xdx_F22_zfZOdPYDMDj7"/>
            <w:bookmarkEnd w:id="291"/>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bottom w:w="28" w:type="dxa"/>
            </w:tcMar>
            <w:vAlign w:val="center"/>
          </w:tcPr>
          <w:p>
            <w:pPr>
              <w:pStyle w:val="TableContents"/>
              <w:bidi w:val="0"/>
              <w:spacing w:before="0" w:after="283"/>
              <w:jc w:val="right"/>
              <w:rPr/>
            </w:pPr>
            <w:r>
              <w:rPr/>
              <w:t>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pPr>
            <w:r>
              <w:rPr/>
              <w:t>10,921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bookmarkStart w:id="292" w:name="xdx_F2E_zStCm8waSbE7"/>
            <w:bookmarkEnd w:id="292"/>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r>
              <w:rPr/>
              <w:t>16,699</w:t>
            </w:r>
          </w:p>
        </w:tc>
        <w:tc>
          <w:tcPr>
            <w:tcW w:w="112" w:type="dxa"/>
            <w:tcBorders/>
            <w:shd w:fill="CCEEFF" w:val="clear"/>
            <w:vAlign w:val="center"/>
          </w:tcPr>
          <w:p>
            <w:pPr>
              <w:pStyle w:val="TableContents"/>
              <w:bidi w:val="0"/>
              <w:spacing w:before="0" w:after="283"/>
              <w:jc w:val="left"/>
              <w:rPr/>
            </w:pPr>
            <w:r>
              <w:rPr/>
              <w:t> </w:t>
            </w:r>
            <w:bookmarkStart w:id="293" w:name="xdx_437_c20250101__20251231_eus-gaap--St"/>
            <w:bookmarkEnd w:id="293"/>
          </w:p>
        </w:tc>
      </w:tr>
      <w:tr>
        <w:trPr/>
        <w:tc>
          <w:tcPr>
            <w:tcW w:w="3217"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4" w:name="xdx_985_eus-gaap--SharesOutstanding_iE_p"/>
            <w:bookmarkEnd w:id="29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29,404,342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bookmarkStart w:id="295" w:name="xdx_F23_zBsRB6y17jQg"/>
            <w:bookmarkEnd w:id="295"/>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bottom w:w="28" w:type="dxa"/>
            </w:tcMar>
            <w:vAlign w:val="center"/>
          </w:tcPr>
          <w:p>
            <w:pPr>
              <w:pStyle w:val="TableContents"/>
              <w:bidi w:val="0"/>
              <w:spacing w:before="0" w:after="283"/>
              <w:jc w:val="right"/>
              <w:rPr/>
            </w:pPr>
            <w:r>
              <w:rPr/>
              <w:t>5,778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pPr>
            <w:r>
              <w:rPr/>
              <w:t>10,921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bookmarkStart w:id="296" w:name="xdx_F29_zOii9MFbeYg6"/>
            <w:bookmarkEnd w:id="296"/>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16,699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40"/>
        <w:gridCol w:w="60"/>
        <w:gridCol w:w="282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7" w:name="xdx_F08_zDT6n4aezTr7"/>
            <w:bookmarkEnd w:id="297"/>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both"/>
              <w:rPr>
                <w:caps w:val="false"/>
                <w:smallCaps w:val="false"/>
              </w:rPr>
            </w:pPr>
            <w:bookmarkStart w:id="298" w:name="xdx_F1C_z5R14SmVzO32"/>
            <w:bookmarkEnd w:id="298"/>
            <w:r>
              <w:rPr>
                <w:caps w:val="false"/>
                <w:smallCaps w:val="false"/>
              </w:rPr>
              <w:t xml:space="preserve">– </w:t>
            </w:r>
            <w:r>
              <w:rPr>
                <w:rFonts w:ascii="Times New Roman;Times;Serif" w:hAnsi="Times New Roman;Times;Serif"/>
                <w:b w:val="false"/>
                <w:i w:val="false"/>
                <w:caps w:val="false"/>
                <w:smallCaps w:val="false"/>
                <w:sz w:val="20"/>
              </w:rPr>
              <w:t>denotes amount less than $’000.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60"/>
        <w:gridCol w:w="9935"/>
      </w:tblGrid>
      <w:tr>
        <w:trPr/>
        <w:tc>
          <w:tcPr>
            <w:tcW w:w="2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9" w:name="xdx_F04_zpB1KPmtahic"/>
            <w:bookmarkEnd w:id="299"/>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00" w:name="xdx_F1D_z93ga2C1KuEg"/>
            <w:bookmarkEnd w:id="300"/>
            <w:r>
              <w:rPr>
                <w:rFonts w:ascii="Times New Roman;Times;Serif" w:hAnsi="Times New Roman;Times;Serif"/>
                <w:b w:val="false"/>
                <w:i w:val="false"/>
                <w:caps w:val="false"/>
                <w:smallCaps w:val="false"/>
                <w:sz w:val="20"/>
              </w:rPr>
              <w:t>- Retrospectively presented for the effect of pro rata share allotment, 1-for-40 forward split and share surrender in preparation of the Company’s initial public offering (Note 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1" w:name="sp_004"/>
      <w:bookmarkEnd w:id="301"/>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2" w:name="xdx_302_112_pn3n3_zkdqc9ZewM2l"/>
      <w:bookmarkStart w:id="303" w:name="xdx_302_112_pn3n3_zkdqc9ZewM2l"/>
      <w:bookmarkEnd w:id="303"/>
    </w:p>
    <w:tbl>
      <w:tblPr>
        <w:tblW w:w="10205" w:type="dxa"/>
        <w:jc w:val="left"/>
        <w:tblInd w:w="0" w:type="dxa"/>
        <w:tblLayout w:type="fixed"/>
        <w:tblCellMar>
          <w:top w:w="0" w:type="dxa"/>
          <w:left w:w="0" w:type="dxa"/>
          <w:bottom w:w="0" w:type="dxa"/>
          <w:right w:w="0" w:type="dxa"/>
        </w:tblCellMar>
      </w:tblPr>
      <w:tblGrid>
        <w:gridCol w:w="6112"/>
        <w:gridCol w:w="60"/>
        <w:gridCol w:w="60"/>
        <w:gridCol w:w="755"/>
        <w:gridCol w:w="95"/>
        <w:gridCol w:w="60"/>
        <w:gridCol w:w="60"/>
        <w:gridCol w:w="755"/>
        <w:gridCol w:w="95"/>
        <w:gridCol w:w="60"/>
        <w:gridCol w:w="60"/>
        <w:gridCol w:w="755"/>
        <w:gridCol w:w="95"/>
        <w:gridCol w:w="60"/>
        <w:gridCol w:w="73"/>
        <w:gridCol w:w="939"/>
        <w:gridCol w:w="111"/>
      </w:tblGrid>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 w:name="xdx_498_20230101__20231231_zt1Jpor6W3yg"/>
            <w:bookmarkEnd w:id="304"/>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5" w:name="xdx_49E_20240101__20241231_zm9V7221EJ5j"/>
            <w:bookmarkEnd w:id="305"/>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6" w:name="xdx_493_20250101__20251231_zBIhqXx9fm34"/>
            <w:bookmarkEnd w:id="306"/>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1" w:type="dxa"/>
            <w:tcBorders/>
            <w:vAlign w:val="center"/>
          </w:tcPr>
          <w:p>
            <w:pPr>
              <w:pStyle w:val="TableContents"/>
              <w:bidi w:val="0"/>
              <w:spacing w:before="0" w:after="283"/>
              <w:jc w:val="left"/>
              <w:rPr/>
            </w:pPr>
            <w:r>
              <w:rPr/>
              <w:t> </w:t>
            </w:r>
          </w:p>
        </w:tc>
      </w:tr>
      <w:tr>
        <w:trPr/>
        <w:tc>
          <w:tcPr>
            <w:tcW w:w="6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6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pPr>
            <w:r>
              <w:rPr/>
              <w:t>US$’000</w:t>
            </w:r>
          </w:p>
        </w:tc>
        <w:tc>
          <w:tcPr>
            <w:tcW w:w="111" w:type="dxa"/>
            <w:tcBorders/>
            <w:vAlign w:val="center"/>
          </w:tcPr>
          <w:p>
            <w:pPr>
              <w:pStyle w:val="TableContents"/>
              <w:bidi w:val="0"/>
              <w:spacing w:before="0" w:after="283"/>
              <w:jc w:val="left"/>
              <w:rPr/>
            </w:pPr>
            <w:r>
              <w:rPr/>
              <w:t> </w:t>
            </w:r>
          </w:p>
        </w:tc>
      </w:tr>
      <w:tr>
        <w:trPr/>
        <w:tc>
          <w:tcPr>
            <w:tcW w:w="6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pPr>
            <w:r>
              <w:rPr/>
              <w:t>(Note 2(d))</w:t>
            </w:r>
          </w:p>
        </w:tc>
        <w:tc>
          <w:tcPr>
            <w:tcW w:w="111" w:type="dxa"/>
            <w:tcBorders/>
            <w:vAlign w:val="center"/>
          </w:tcPr>
          <w:p>
            <w:pPr>
              <w:pStyle w:val="TableContents"/>
              <w:bidi w:val="0"/>
              <w:spacing w:before="0" w:after="283"/>
              <w:jc w:val="left"/>
              <w:rPr/>
            </w:pPr>
            <w:r>
              <w:rPr/>
              <w:t> </w:t>
            </w:r>
            <w:bookmarkStart w:id="307" w:name="xdx_407_eus-gaap--NetCashProvidedByUsedI"/>
            <w:bookmarkEnd w:id="307"/>
          </w:p>
        </w:tc>
      </w:tr>
      <w:tr>
        <w:trPr/>
        <w:tc>
          <w:tcPr>
            <w:tcW w:w="6112"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08" w:name="xdx_403_eus-gaap--NetIncomeLoss_i01_maNC"/>
            <w:bookmarkEnd w:id="308"/>
          </w:p>
        </w:tc>
      </w:tr>
      <w:tr>
        <w:trPr/>
        <w:tc>
          <w:tcPr>
            <w:tcW w:w="6112"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09" w:name="xdx_987_eus-gaap--NetIncomeLoss_i01_uUSD"/>
            <w:bookmarkEnd w:id="309"/>
          </w:p>
        </w:tc>
        <w:tc>
          <w:tcPr>
            <w:tcW w:w="939" w:type="dxa"/>
            <w:tcBorders/>
            <w:shd w:fill="FFFFFF" w:val="clear"/>
            <w:vAlign w:val="center"/>
          </w:tcPr>
          <w:p>
            <w:pPr>
              <w:pStyle w:val="TableContents"/>
              <w:bidi w:val="0"/>
              <w:spacing w:before="0" w:after="283"/>
              <w:jc w:val="right"/>
              <w:rPr/>
            </w:pPr>
            <w:r>
              <w:rPr/>
              <w:t>4,345</w:t>
            </w:r>
          </w:p>
        </w:tc>
        <w:tc>
          <w:tcPr>
            <w:tcW w:w="111" w:type="dxa"/>
            <w:tcBorders/>
            <w:shd w:fill="FFFFFF" w:val="clear"/>
            <w:vAlign w:val="center"/>
          </w:tcPr>
          <w:p>
            <w:pPr>
              <w:pStyle w:val="TableContents"/>
              <w:bidi w:val="0"/>
              <w:spacing w:before="0" w:after="283"/>
              <w:jc w:val="left"/>
              <w:rPr/>
            </w:pPr>
            <w:r>
              <w:rPr/>
              <w:t> </w:t>
            </w:r>
            <w:bookmarkStart w:id="310" w:name="xdx_401_eus-gaap--AdjustmentsToReconcile"/>
            <w:bookmarkEnd w:id="310"/>
          </w:p>
        </w:tc>
      </w:tr>
      <w:tr>
        <w:trPr/>
        <w:tc>
          <w:tcPr>
            <w:tcW w:w="6112" w:type="dxa"/>
            <w:tcBorders/>
            <w:shd w:fill="CCEE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11" w:name="xdx_406_eus-gaap--Depreciation_i02_maNCP"/>
            <w:bookmarkEnd w:id="311"/>
          </w:p>
        </w:tc>
      </w:tr>
      <w:tr>
        <w:trPr/>
        <w:tc>
          <w:tcPr>
            <w:tcW w:w="6112" w:type="dxa"/>
            <w:tcBorders/>
            <w:shd w:fill="FFFFFF" w:val="clear"/>
            <w:vAlign w:val="center"/>
          </w:tcPr>
          <w:p>
            <w:pPr>
              <w:pStyle w:val="TableContents"/>
              <w:bidi w:val="0"/>
              <w:spacing w:before="0" w:after="283"/>
              <w:jc w:val="left"/>
              <w:rPr/>
            </w:pPr>
            <w:r>
              <w:rPr/>
              <w:t>Depreciation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12" w:name="xdx_98C_eus-gaap--Depreciation_i02_uUSD_"/>
            <w:bookmarkEnd w:id="312"/>
          </w:p>
        </w:tc>
        <w:tc>
          <w:tcPr>
            <w:tcW w:w="939" w:type="dxa"/>
            <w:tcBorders/>
            <w:shd w:fill="FFFFFF" w:val="clear"/>
            <w:vAlign w:val="center"/>
          </w:tcPr>
          <w:p>
            <w:pPr>
              <w:pStyle w:val="TableContents"/>
              <w:bidi w:val="0"/>
              <w:spacing w:before="0" w:after="283"/>
              <w:jc w:val="right"/>
              <w:rPr/>
            </w:pPr>
            <w:r>
              <w:rPr/>
              <w:t>3,625</w:t>
            </w:r>
          </w:p>
        </w:tc>
        <w:tc>
          <w:tcPr>
            <w:tcW w:w="111" w:type="dxa"/>
            <w:tcBorders/>
            <w:shd w:fill="FFFFFF" w:val="clear"/>
            <w:vAlign w:val="center"/>
          </w:tcPr>
          <w:p>
            <w:pPr>
              <w:pStyle w:val="TableContents"/>
              <w:bidi w:val="0"/>
              <w:spacing w:before="0" w:after="283"/>
              <w:jc w:val="left"/>
              <w:rPr/>
            </w:pPr>
            <w:r>
              <w:rPr/>
              <w:t> </w:t>
            </w:r>
            <w:bookmarkStart w:id="313" w:name="xdx_406_ecustom--DepreciationOfRightofus"/>
            <w:bookmarkEnd w:id="313"/>
          </w:p>
        </w:tc>
      </w:tr>
      <w:tr>
        <w:trPr/>
        <w:tc>
          <w:tcPr>
            <w:tcW w:w="6112" w:type="dxa"/>
            <w:tcBorders/>
            <w:shd w:fill="CCEEFF" w:val="clear"/>
            <w:vAlign w:val="center"/>
          </w:tcPr>
          <w:p>
            <w:pPr>
              <w:pStyle w:val="TableContents"/>
              <w:bidi w:val="0"/>
              <w:spacing w:before="0" w:after="283"/>
              <w:jc w:val="left"/>
              <w:rPr/>
            </w:pPr>
            <w:r>
              <w:rPr/>
              <w:t>Depreciation of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14" w:name="xdx_983_ecustom--DepreciationOfRightofus"/>
            <w:bookmarkEnd w:id="314"/>
          </w:p>
        </w:tc>
        <w:tc>
          <w:tcPr>
            <w:tcW w:w="939" w:type="dxa"/>
            <w:tcBorders/>
            <w:shd w:fill="CCEEFF" w:val="clear"/>
            <w:vAlign w:val="center"/>
          </w:tcPr>
          <w:p>
            <w:pPr>
              <w:pStyle w:val="TableContents"/>
              <w:bidi w:val="0"/>
              <w:spacing w:before="0" w:after="283"/>
              <w:jc w:val="right"/>
              <w:rPr/>
            </w:pPr>
            <w:r>
              <w:rPr/>
              <w:t>924</w:t>
            </w:r>
          </w:p>
        </w:tc>
        <w:tc>
          <w:tcPr>
            <w:tcW w:w="111" w:type="dxa"/>
            <w:tcBorders/>
            <w:shd w:fill="CCEEFF" w:val="clear"/>
            <w:vAlign w:val="center"/>
          </w:tcPr>
          <w:p>
            <w:pPr>
              <w:pStyle w:val="TableContents"/>
              <w:bidi w:val="0"/>
              <w:spacing w:before="0" w:after="283"/>
              <w:jc w:val="left"/>
              <w:rPr/>
            </w:pPr>
            <w:r>
              <w:rPr/>
              <w:t> </w:t>
            </w:r>
            <w:bookmarkStart w:id="315" w:name="xdx_40A_eus-gaap--GainLossOnSaleOfProper"/>
            <w:bookmarkEnd w:id="315"/>
          </w:p>
        </w:tc>
      </w:tr>
      <w:tr>
        <w:trPr/>
        <w:tc>
          <w:tcPr>
            <w:tcW w:w="6112" w:type="dxa"/>
            <w:tcBorders/>
            <w:shd w:fill="FFFFFF" w:val="clear"/>
            <w:vAlign w:val="center"/>
          </w:tcPr>
          <w:p>
            <w:pPr>
              <w:pStyle w:val="TableContents"/>
              <w:bidi w:val="0"/>
              <w:spacing w:before="0" w:after="283"/>
              <w:jc w:val="left"/>
              <w:rPr/>
            </w:pPr>
            <w:r>
              <w:rPr/>
              <w:t>(Gain)/Loss on disposal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16" w:name="xdx_98A_eus-gaap--GainLossOnSaleOfProper"/>
            <w:bookmarkEnd w:id="316"/>
          </w:p>
        </w:tc>
        <w:tc>
          <w:tcPr>
            <w:tcW w:w="939" w:type="dxa"/>
            <w:tcBorders/>
            <w:shd w:fill="FFFFFF" w:val="clear"/>
            <w:vAlign w:val="center"/>
          </w:tcPr>
          <w:p>
            <w:pPr>
              <w:pStyle w:val="TableContents"/>
              <w:bidi w:val="0"/>
              <w:spacing w:before="0" w:after="283"/>
              <w:jc w:val="right"/>
              <w:rPr/>
            </w:pPr>
            <w:r>
              <w:rPr/>
              <w:t>23</w:t>
            </w:r>
          </w:p>
        </w:tc>
        <w:tc>
          <w:tcPr>
            <w:tcW w:w="111" w:type="dxa"/>
            <w:tcBorders/>
            <w:shd w:fill="FFFFFF" w:val="clear"/>
            <w:vAlign w:val="center"/>
          </w:tcPr>
          <w:p>
            <w:pPr>
              <w:pStyle w:val="TableContents"/>
              <w:bidi w:val="0"/>
              <w:spacing w:before="0" w:after="283"/>
              <w:jc w:val="left"/>
              <w:rPr/>
            </w:pPr>
            <w:r>
              <w:rPr/>
              <w:t> </w:t>
            </w:r>
            <w:bookmarkStart w:id="317" w:name="xdx_40C_ecustom--GainOnDerecognitionOfRi"/>
            <w:bookmarkEnd w:id="317"/>
          </w:p>
        </w:tc>
      </w:tr>
      <w:tr>
        <w:trPr/>
        <w:tc>
          <w:tcPr>
            <w:tcW w:w="6112" w:type="dxa"/>
            <w:tcBorders/>
            <w:shd w:fill="CCEEFF" w:val="clear"/>
            <w:vAlign w:val="center"/>
          </w:tcPr>
          <w:p>
            <w:pPr>
              <w:pStyle w:val="TableContents"/>
              <w:bidi w:val="0"/>
              <w:spacing w:before="0" w:after="283"/>
              <w:jc w:val="left"/>
              <w:rPr/>
            </w:pPr>
            <w:r>
              <w:rPr/>
              <w:t>Gain on de-recognition of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18" w:name="xdx_98F_ecustom--GainOnDerecognitionOfRi"/>
            <w:bookmarkEnd w:id="318"/>
          </w:p>
        </w:tc>
        <w:tc>
          <w:tcPr>
            <w:tcW w:w="93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319" w:name="xdx_405_ecustom--ReversalOfAllowanceForI"/>
            <w:bookmarkEnd w:id="319"/>
          </w:p>
        </w:tc>
      </w:tr>
      <w:tr>
        <w:trPr/>
        <w:tc>
          <w:tcPr>
            <w:tcW w:w="6112" w:type="dxa"/>
            <w:tcBorders/>
            <w:shd w:fill="FFFFFF" w:val="clear"/>
            <w:vAlign w:val="center"/>
          </w:tcPr>
          <w:p>
            <w:pPr>
              <w:pStyle w:val="TableContents"/>
              <w:bidi w:val="0"/>
              <w:spacing w:before="0" w:after="283"/>
              <w:jc w:val="left"/>
              <w:rPr/>
            </w:pPr>
            <w:r>
              <w:rPr/>
              <w:t>Reversal of allowance for inventories obsolescence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20" w:name="xdx_983_ecustom--ReversalOfAllowanceForI"/>
            <w:bookmarkEnd w:id="320"/>
          </w:p>
        </w:tc>
        <w:tc>
          <w:tcPr>
            <w:tcW w:w="939"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61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21" w:name="xdx_403_eus-gaap--IncreaseDecreaseInOper"/>
            <w:bookmarkEnd w:id="321"/>
          </w:p>
        </w:tc>
      </w:tr>
      <w:tr>
        <w:trPr/>
        <w:tc>
          <w:tcPr>
            <w:tcW w:w="6112" w:type="dxa"/>
            <w:tcBorders/>
            <w:shd w:fill="FFFFFF" w:val="clear"/>
            <w:vAlign w:val="center"/>
          </w:tcPr>
          <w:p>
            <w:pPr>
              <w:pStyle w:val="TableContents"/>
              <w:bidi w:val="0"/>
              <w:spacing w:before="0" w:after="283"/>
              <w:jc w:val="left"/>
              <w:rPr/>
            </w:pPr>
            <w:r>
              <w:rPr/>
              <w:t>Change in working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22" w:name="xdx_40C_eus-gaap--IncreaseDecreaseInAcco"/>
            <w:bookmarkEnd w:id="322"/>
          </w:p>
        </w:tc>
      </w:tr>
      <w:tr>
        <w:trPr/>
        <w:tc>
          <w:tcPr>
            <w:tcW w:w="6112"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23" w:name="xdx_987_eus-gaap--IncreaseDecreaseInAcco"/>
            <w:bookmarkEnd w:id="323"/>
          </w:p>
        </w:tc>
        <w:tc>
          <w:tcPr>
            <w:tcW w:w="939" w:type="dxa"/>
            <w:tcBorders/>
            <w:shd w:fill="CCEEFF" w:val="clear"/>
            <w:vAlign w:val="center"/>
          </w:tcPr>
          <w:p>
            <w:pPr>
              <w:pStyle w:val="TableContents"/>
              <w:bidi w:val="0"/>
              <w:spacing w:before="0" w:after="283"/>
              <w:jc w:val="right"/>
              <w:rPr/>
            </w:pPr>
            <w:r>
              <w:rPr/>
              <w:t>821</w:t>
            </w:r>
          </w:p>
        </w:tc>
        <w:tc>
          <w:tcPr>
            <w:tcW w:w="111" w:type="dxa"/>
            <w:tcBorders/>
            <w:shd w:fill="CCEEFF" w:val="clear"/>
            <w:vAlign w:val="center"/>
          </w:tcPr>
          <w:p>
            <w:pPr>
              <w:pStyle w:val="TableContents"/>
              <w:bidi w:val="0"/>
              <w:spacing w:before="0" w:after="283"/>
              <w:jc w:val="left"/>
              <w:rPr/>
            </w:pPr>
            <w:r>
              <w:rPr/>
              <w:t> </w:t>
            </w:r>
            <w:bookmarkStart w:id="324" w:name="xdx_40D_eus-gaap--IncreaseDecreaseInCont"/>
            <w:bookmarkEnd w:id="324"/>
          </w:p>
        </w:tc>
      </w:tr>
      <w:tr>
        <w:trPr/>
        <w:tc>
          <w:tcPr>
            <w:tcW w:w="6112"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25" w:name="xdx_986_eus-gaap--IncreaseDecreaseInCont"/>
            <w:bookmarkEnd w:id="325"/>
          </w:p>
        </w:tc>
        <w:tc>
          <w:tcPr>
            <w:tcW w:w="939" w:type="dxa"/>
            <w:tcBorders/>
            <w:shd w:fill="FFFFFF" w:val="clear"/>
            <w:vAlign w:val="center"/>
          </w:tcPr>
          <w:p>
            <w:pPr>
              <w:pStyle w:val="TableContents"/>
              <w:bidi w:val="0"/>
              <w:spacing w:before="0" w:after="283"/>
              <w:jc w:val="right"/>
              <w:rPr/>
            </w:pPr>
            <w:r>
              <w:rPr/>
              <w:t>(61</w:t>
            </w:r>
          </w:p>
        </w:tc>
        <w:tc>
          <w:tcPr>
            <w:tcW w:w="111" w:type="dxa"/>
            <w:tcBorders/>
            <w:shd w:fill="FFFFFF" w:val="clear"/>
            <w:vAlign w:val="center"/>
          </w:tcPr>
          <w:p>
            <w:pPr>
              <w:pStyle w:val="TableContents"/>
              <w:bidi w:val="0"/>
              <w:spacing w:before="0" w:after="283"/>
              <w:jc w:val="left"/>
              <w:rPr/>
            </w:pPr>
            <w:r>
              <w:rPr/>
              <w:t>)</w:t>
            </w:r>
            <w:bookmarkStart w:id="326" w:name="xdx_403_eus-gaap--IncreaseDecreaseInInve"/>
            <w:bookmarkEnd w:id="326"/>
          </w:p>
        </w:tc>
      </w:tr>
      <w:tr>
        <w:trPr/>
        <w:tc>
          <w:tcPr>
            <w:tcW w:w="6112" w:type="dxa"/>
            <w:tcBorders/>
            <w:shd w:fill="CCEEFF" w:val="clear"/>
            <w:vAlign w:val="center"/>
          </w:tcPr>
          <w:p>
            <w:pPr>
              <w:pStyle w:val="TableContents"/>
              <w:bidi w:val="0"/>
              <w:spacing w:before="0" w:after="283"/>
              <w:jc w:val="left"/>
              <w:rPr/>
            </w:pPr>
            <w:r>
              <w:rPr/>
              <w:t>Inventories</w:t>
            </w:r>
            <w:bookmarkStart w:id="327" w:name="xdx_F41_zrVlUMMEEc31"/>
            <w:bookmarkEnd w:id="32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28" w:name="xdx_985_eus-gaap--IncreaseDecreaseInInve"/>
            <w:bookmarkEnd w:id="328"/>
          </w:p>
        </w:tc>
        <w:tc>
          <w:tcPr>
            <w:tcW w:w="939" w:type="dxa"/>
            <w:tcBorders/>
            <w:shd w:fill="CCEEFF" w:val="clear"/>
            <w:vAlign w:val="center"/>
          </w:tcPr>
          <w:p>
            <w:pPr>
              <w:pStyle w:val="TableContents"/>
              <w:bidi w:val="0"/>
              <w:spacing w:before="0" w:after="283"/>
              <w:jc w:val="right"/>
              <w:rPr/>
            </w:pPr>
            <w:r>
              <w:rPr/>
              <w:t>8,889</w:t>
            </w:r>
          </w:p>
        </w:tc>
        <w:tc>
          <w:tcPr>
            <w:tcW w:w="111" w:type="dxa"/>
            <w:tcBorders/>
            <w:shd w:fill="CCEEFF" w:val="clear"/>
            <w:vAlign w:val="center"/>
          </w:tcPr>
          <w:p>
            <w:pPr>
              <w:pStyle w:val="TableContents"/>
              <w:bidi w:val="0"/>
              <w:spacing w:before="0" w:after="283"/>
              <w:jc w:val="left"/>
              <w:rPr/>
            </w:pPr>
            <w:r>
              <w:rPr/>
              <w:t> </w:t>
            </w:r>
            <w:bookmarkStart w:id="329" w:name="xdx_40C_eus-gaap--IncreaseDecreaseInDueF"/>
            <w:bookmarkEnd w:id="329"/>
          </w:p>
        </w:tc>
      </w:tr>
      <w:tr>
        <w:trPr/>
        <w:tc>
          <w:tcPr>
            <w:tcW w:w="6112" w:type="dxa"/>
            <w:tcBorders/>
            <w:shd w:fill="FFFFFF" w:val="clear"/>
            <w:vAlign w:val="center"/>
          </w:tcPr>
          <w:p>
            <w:pPr>
              <w:pStyle w:val="TableContents"/>
              <w:bidi w:val="0"/>
              <w:spacing w:before="0" w:after="283"/>
              <w:jc w:val="left"/>
              <w:rPr/>
            </w:pPr>
            <w:r>
              <w:rPr/>
              <w:t>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30" w:name="xdx_984_eus-gaap--IncreaseDecreaseInDueF"/>
            <w:bookmarkEnd w:id="330"/>
          </w:p>
        </w:tc>
        <w:tc>
          <w:tcPr>
            <w:tcW w:w="939" w:type="dxa"/>
            <w:tcBorders/>
            <w:shd w:fill="FFFFFF" w:val="clear"/>
            <w:vAlign w:val="center"/>
          </w:tcPr>
          <w:p>
            <w:pPr>
              <w:pStyle w:val="TableContents"/>
              <w:bidi w:val="0"/>
              <w:spacing w:before="0" w:after="283"/>
              <w:jc w:val="right"/>
              <w:rPr/>
            </w:pPr>
            <w:r>
              <w:rPr/>
              <w:t>1,199</w:t>
            </w:r>
          </w:p>
        </w:tc>
        <w:tc>
          <w:tcPr>
            <w:tcW w:w="111" w:type="dxa"/>
            <w:tcBorders/>
            <w:shd w:fill="FFFFFF" w:val="clear"/>
            <w:vAlign w:val="center"/>
          </w:tcPr>
          <w:p>
            <w:pPr>
              <w:pStyle w:val="TableContents"/>
              <w:bidi w:val="0"/>
              <w:spacing w:before="0" w:after="283"/>
              <w:jc w:val="left"/>
              <w:rPr/>
            </w:pPr>
            <w:r>
              <w:rPr/>
              <w:t> </w:t>
            </w:r>
            <w:bookmarkStart w:id="331" w:name="xdx_409_eus-gaap--IncreaseDecreaseInAcco"/>
            <w:bookmarkEnd w:id="331"/>
          </w:p>
        </w:tc>
      </w:tr>
      <w:tr>
        <w:trPr/>
        <w:tc>
          <w:tcPr>
            <w:tcW w:w="6112"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32" w:name="xdx_98F_eus-gaap--IncreaseDecreaseInAcco"/>
            <w:bookmarkEnd w:id="332"/>
          </w:p>
        </w:tc>
        <w:tc>
          <w:tcPr>
            <w:tcW w:w="939" w:type="dxa"/>
            <w:tcBorders/>
            <w:shd w:fill="CCEEFF" w:val="clear"/>
            <w:vAlign w:val="center"/>
          </w:tcPr>
          <w:p>
            <w:pPr>
              <w:pStyle w:val="TableContents"/>
              <w:bidi w:val="0"/>
              <w:spacing w:before="0" w:after="283"/>
              <w:jc w:val="right"/>
              <w:rPr/>
            </w:pPr>
            <w:r>
              <w:rPr/>
              <w:t>(503</w:t>
            </w:r>
          </w:p>
        </w:tc>
        <w:tc>
          <w:tcPr>
            <w:tcW w:w="111" w:type="dxa"/>
            <w:tcBorders/>
            <w:shd w:fill="CCEEFF" w:val="clear"/>
            <w:vAlign w:val="center"/>
          </w:tcPr>
          <w:p>
            <w:pPr>
              <w:pStyle w:val="TableContents"/>
              <w:bidi w:val="0"/>
              <w:spacing w:before="0" w:after="283"/>
              <w:jc w:val="left"/>
              <w:rPr/>
            </w:pPr>
            <w:r>
              <w:rPr/>
              <w:t>)</w:t>
            </w:r>
            <w:bookmarkStart w:id="333" w:name="xdx_40A_eus-gaap--IncreaseDecreaseInAccr"/>
            <w:bookmarkEnd w:id="333"/>
          </w:p>
        </w:tc>
      </w:tr>
      <w:tr>
        <w:trPr/>
        <w:tc>
          <w:tcPr>
            <w:tcW w:w="6112"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34" w:name="xdx_986_eus-gaap--IncreaseDecreaseInAccr"/>
            <w:bookmarkEnd w:id="334"/>
          </w:p>
        </w:tc>
        <w:tc>
          <w:tcPr>
            <w:tcW w:w="939" w:type="dxa"/>
            <w:tcBorders/>
            <w:shd w:fill="FFFFFF" w:val="clear"/>
            <w:vAlign w:val="center"/>
          </w:tcPr>
          <w:p>
            <w:pPr>
              <w:pStyle w:val="TableContents"/>
              <w:bidi w:val="0"/>
              <w:spacing w:before="0" w:after="283"/>
              <w:jc w:val="right"/>
              <w:rPr/>
            </w:pPr>
            <w:r>
              <w:rPr/>
              <w:t>673</w:t>
            </w:r>
          </w:p>
        </w:tc>
        <w:tc>
          <w:tcPr>
            <w:tcW w:w="111" w:type="dxa"/>
            <w:tcBorders/>
            <w:shd w:fill="FFFFFF" w:val="clear"/>
            <w:vAlign w:val="center"/>
          </w:tcPr>
          <w:p>
            <w:pPr>
              <w:pStyle w:val="TableContents"/>
              <w:bidi w:val="0"/>
              <w:spacing w:before="0" w:after="283"/>
              <w:jc w:val="left"/>
              <w:rPr/>
            </w:pPr>
            <w:r>
              <w:rPr/>
              <w:t> </w:t>
            </w:r>
            <w:bookmarkStart w:id="335" w:name="xdx_409_eus-gaap--IncreaseDecreaseInDefe"/>
            <w:bookmarkEnd w:id="335"/>
          </w:p>
        </w:tc>
      </w:tr>
      <w:tr>
        <w:trPr/>
        <w:tc>
          <w:tcPr>
            <w:tcW w:w="6112"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6" w:name="xdx_986_eus-gaap--IncreaseDecreaseInDefe"/>
            <w:bookmarkEnd w:id="336"/>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463</w:t>
            </w:r>
          </w:p>
        </w:tc>
        <w:tc>
          <w:tcPr>
            <w:tcW w:w="111" w:type="dxa"/>
            <w:tcBorders/>
            <w:shd w:fill="CCEEFF" w:val="clear"/>
            <w:vAlign w:val="center"/>
          </w:tcPr>
          <w:p>
            <w:pPr>
              <w:pStyle w:val="TableContents"/>
              <w:bidi w:val="0"/>
              <w:spacing w:before="0" w:after="283"/>
              <w:jc w:val="left"/>
              <w:rPr/>
            </w:pPr>
            <w:r>
              <w:rPr/>
              <w:t> </w:t>
            </w:r>
            <w:bookmarkStart w:id="337" w:name="xdx_40D_eus-gaap--NetCashProvidedByUsedI"/>
            <w:bookmarkEnd w:id="337"/>
          </w:p>
        </w:tc>
      </w:tr>
      <w:tr>
        <w:trPr/>
        <w:tc>
          <w:tcPr>
            <w:tcW w:w="6112"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(5,820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8" w:name="xdx_98D_eus-gaap--NetCashProvidedByUsedI"/>
            <w:bookmarkEnd w:id="338"/>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20,398</w:t>
            </w:r>
          </w:p>
        </w:tc>
        <w:tc>
          <w:tcPr>
            <w:tcW w:w="111" w:type="dxa"/>
            <w:tcBorders/>
            <w:shd w:fill="FFFFFF" w:val="clear"/>
            <w:vAlign w:val="center"/>
          </w:tcPr>
          <w:p>
            <w:pPr>
              <w:pStyle w:val="TableContents"/>
              <w:bidi w:val="0"/>
              <w:spacing w:before="0" w:after="283"/>
              <w:jc w:val="left"/>
              <w:rPr/>
            </w:pPr>
            <w:r>
              <w:rPr/>
              <w:t> </w:t>
            </w:r>
          </w:p>
        </w:tc>
      </w:tr>
      <w:tr>
        <w:trPr/>
        <w:tc>
          <w:tcPr>
            <w:tcW w:w="61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39" w:name="xdx_400_eus-gaap--NetCashProvidedByUsedI"/>
            <w:bookmarkEnd w:id="339"/>
          </w:p>
        </w:tc>
      </w:tr>
      <w:tr>
        <w:trPr/>
        <w:tc>
          <w:tcPr>
            <w:tcW w:w="611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40" w:name="xdx_40F_eus-gaap--ProceedsFromSaleOfProp"/>
            <w:bookmarkEnd w:id="340"/>
          </w:p>
        </w:tc>
      </w:tr>
      <w:tr>
        <w:trPr/>
        <w:tc>
          <w:tcPr>
            <w:tcW w:w="6112" w:type="dxa"/>
            <w:tcBorders/>
            <w:shd w:fill="CCEEFF" w:val="clear"/>
            <w:vAlign w:val="center"/>
          </w:tcPr>
          <w:p>
            <w:pPr>
              <w:pStyle w:val="TableContents"/>
              <w:bidi w:val="0"/>
              <w:spacing w:before="0" w:after="283"/>
              <w:jc w:val="left"/>
              <w:rPr/>
            </w:pPr>
            <w:r>
              <w:rPr/>
              <w:t>Proceeds from disposal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41" w:name="xdx_98E_eus-gaap--ProceedsFromSaleOfProp"/>
            <w:bookmarkEnd w:id="341"/>
          </w:p>
        </w:tc>
        <w:tc>
          <w:tcPr>
            <w:tcW w:w="939" w:type="dxa"/>
            <w:tcBorders/>
            <w:shd w:fill="CCEEFF" w:val="clear"/>
            <w:vAlign w:val="center"/>
          </w:tcPr>
          <w:p>
            <w:pPr>
              <w:pStyle w:val="TableContents"/>
              <w:bidi w:val="0"/>
              <w:spacing w:before="0" w:after="283"/>
              <w:jc w:val="right"/>
              <w:rPr/>
            </w:pPr>
            <w:r>
              <w:rPr/>
              <w:t>37</w:t>
            </w:r>
          </w:p>
        </w:tc>
        <w:tc>
          <w:tcPr>
            <w:tcW w:w="111" w:type="dxa"/>
            <w:tcBorders/>
            <w:shd w:fill="CCEEFF" w:val="clear"/>
            <w:vAlign w:val="center"/>
          </w:tcPr>
          <w:p>
            <w:pPr>
              <w:pStyle w:val="TableContents"/>
              <w:bidi w:val="0"/>
              <w:spacing w:before="0" w:after="283"/>
              <w:jc w:val="left"/>
              <w:rPr/>
            </w:pPr>
            <w:r>
              <w:rPr/>
              <w:t> </w:t>
            </w:r>
            <w:bookmarkStart w:id="342" w:name="xdx_40D_ecustom--PaymentsForProceedsFrom"/>
            <w:bookmarkEnd w:id="342"/>
          </w:p>
        </w:tc>
      </w:tr>
      <w:tr>
        <w:trPr/>
        <w:tc>
          <w:tcPr>
            <w:tcW w:w="6112" w:type="dxa"/>
            <w:tcBorders/>
            <w:shd w:fill="FFFFFF" w:val="clear"/>
            <w:vAlign w:val="center"/>
          </w:tcPr>
          <w:p>
            <w:pPr>
              <w:pStyle w:val="TableContents"/>
              <w:bidi w:val="0"/>
              <w:spacing w:before="0" w:after="283"/>
              <w:jc w:val="left"/>
              <w:rPr/>
            </w:pPr>
            <w:r>
              <w:rPr/>
              <w:t>Repayment from finance lease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43" w:name="xdx_98B_ecustom--PaymentsForProceedsFrom"/>
            <w:bookmarkEnd w:id="343"/>
          </w:p>
        </w:tc>
        <w:tc>
          <w:tcPr>
            <w:tcW w:w="939" w:type="dxa"/>
            <w:tcBorders/>
            <w:shd w:fill="FFFFFF" w:val="clear"/>
            <w:vAlign w:val="center"/>
          </w:tcPr>
          <w:p>
            <w:pPr>
              <w:pStyle w:val="TableContents"/>
              <w:bidi w:val="0"/>
              <w:spacing w:before="0" w:after="283"/>
              <w:jc w:val="right"/>
              <w:rPr/>
            </w:pPr>
            <w:r>
              <w:rPr/>
              <w:t>490</w:t>
            </w:r>
          </w:p>
        </w:tc>
        <w:tc>
          <w:tcPr>
            <w:tcW w:w="111" w:type="dxa"/>
            <w:tcBorders/>
            <w:shd w:fill="FFFFFF" w:val="clear"/>
            <w:vAlign w:val="center"/>
          </w:tcPr>
          <w:p>
            <w:pPr>
              <w:pStyle w:val="TableContents"/>
              <w:bidi w:val="0"/>
              <w:spacing w:before="0" w:after="283"/>
              <w:jc w:val="left"/>
              <w:rPr/>
            </w:pPr>
            <w:r>
              <w:rPr/>
              <w:t> </w:t>
            </w:r>
            <w:bookmarkStart w:id="344" w:name="xdx_40D_eus-gaap--PaymentsToAcquirePrope"/>
            <w:bookmarkEnd w:id="344"/>
          </w:p>
        </w:tc>
      </w:tr>
      <w:tr>
        <w:trPr/>
        <w:tc>
          <w:tcPr>
            <w:tcW w:w="6112" w:type="dxa"/>
            <w:tcBorders/>
            <w:shd w:fill="CCEEFF" w:val="clear"/>
            <w:vAlign w:val="center"/>
          </w:tcPr>
          <w:p>
            <w:pPr>
              <w:pStyle w:val="TableContents"/>
              <w:bidi w:val="0"/>
              <w:spacing w:before="0" w:after="283"/>
              <w:jc w:val="left"/>
              <w:rPr/>
            </w:pPr>
            <w:r>
              <w:rPr/>
              <w:t>Purchase of plant and equipment</w:t>
            </w:r>
            <w:bookmarkStart w:id="345" w:name="xdx_F4C_zNbwPHSED0Rj"/>
            <w:bookmarkEnd w:id="345"/>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6" w:name="xdx_985_eus-gaap--PaymentsToAcquirePrope"/>
            <w:bookmarkEnd w:id="346"/>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(13,377</w:t>
            </w:r>
          </w:p>
        </w:tc>
        <w:tc>
          <w:tcPr>
            <w:tcW w:w="111" w:type="dxa"/>
            <w:tcBorders/>
            <w:shd w:fill="CCEEFF" w:val="clear"/>
            <w:vAlign w:val="center"/>
          </w:tcPr>
          <w:p>
            <w:pPr>
              <w:pStyle w:val="TableContents"/>
              <w:bidi w:val="0"/>
              <w:spacing w:before="0" w:after="283"/>
              <w:jc w:val="left"/>
              <w:rPr/>
            </w:pPr>
            <w:r>
              <w:rPr/>
              <w:t>)</w:t>
            </w:r>
            <w:bookmarkStart w:id="347" w:name="xdx_407_eus-gaap--NetCashProvidedByUsedI"/>
            <w:bookmarkEnd w:id="347"/>
          </w:p>
        </w:tc>
      </w:tr>
      <w:tr>
        <w:trPr/>
        <w:tc>
          <w:tcPr>
            <w:tcW w:w="6112"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8" w:name="xdx_98C_eus-gaap--NetCashProvidedByUsedI"/>
            <w:bookmarkEnd w:id="348"/>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(12,850</w:t>
            </w:r>
          </w:p>
        </w:tc>
        <w:tc>
          <w:tcPr>
            <w:tcW w:w="111" w:type="dxa"/>
            <w:tcBorders/>
            <w:shd w:fill="FFFFFF" w:val="clear"/>
            <w:vAlign w:val="center"/>
          </w:tcPr>
          <w:p>
            <w:pPr>
              <w:pStyle w:val="TableContents"/>
              <w:bidi w:val="0"/>
              <w:spacing w:before="0" w:after="283"/>
              <w:jc w:val="left"/>
              <w:rPr/>
            </w:pPr>
            <w:r>
              <w:rPr/>
              <w:t>)</w:t>
            </w:r>
          </w:p>
        </w:tc>
      </w:tr>
      <w:tr>
        <w:trPr/>
        <w:tc>
          <w:tcPr>
            <w:tcW w:w="61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49" w:name="xdx_40C_eus-gaap--NetCashProvidedByUsedI"/>
            <w:bookmarkEnd w:id="349"/>
          </w:p>
        </w:tc>
      </w:tr>
      <w:tr>
        <w:trPr/>
        <w:tc>
          <w:tcPr>
            <w:tcW w:w="611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50" w:name="xdx_403_eus-gaap--ProceedsFromBankDebt_i"/>
            <w:bookmarkEnd w:id="350"/>
          </w:p>
        </w:tc>
      </w:tr>
      <w:tr>
        <w:trPr/>
        <w:tc>
          <w:tcPr>
            <w:tcW w:w="6112" w:type="dxa"/>
            <w:tcBorders/>
            <w:shd w:fill="CCEEFF" w:val="clear"/>
            <w:vAlign w:val="center"/>
          </w:tcPr>
          <w:p>
            <w:pPr>
              <w:pStyle w:val="TableContents"/>
              <w:bidi w:val="0"/>
              <w:spacing w:before="0" w:after="283"/>
              <w:jc w:val="left"/>
              <w:rPr/>
            </w:pPr>
            <w:r>
              <w:rPr/>
              <w:t>Proceeds from bank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51" w:name="xdx_983_eus-gaap--ProceedsFromBankDebt_i"/>
            <w:bookmarkEnd w:id="351"/>
          </w:p>
        </w:tc>
        <w:tc>
          <w:tcPr>
            <w:tcW w:w="939" w:type="dxa"/>
            <w:tcBorders/>
            <w:shd w:fill="CCEEFF" w:val="clear"/>
            <w:vAlign w:val="center"/>
          </w:tcPr>
          <w:p>
            <w:pPr>
              <w:pStyle w:val="TableContents"/>
              <w:bidi w:val="0"/>
              <w:spacing w:before="0" w:after="283"/>
              <w:jc w:val="right"/>
              <w:rPr/>
            </w:pPr>
            <w:r>
              <w:rPr/>
              <w:t>3,113</w:t>
            </w:r>
          </w:p>
        </w:tc>
        <w:tc>
          <w:tcPr>
            <w:tcW w:w="111" w:type="dxa"/>
            <w:tcBorders/>
            <w:shd w:fill="CCEEFF" w:val="clear"/>
            <w:vAlign w:val="center"/>
          </w:tcPr>
          <w:p>
            <w:pPr>
              <w:pStyle w:val="TableContents"/>
              <w:bidi w:val="0"/>
              <w:spacing w:before="0" w:after="283"/>
              <w:jc w:val="left"/>
              <w:rPr/>
            </w:pPr>
            <w:r>
              <w:rPr/>
              <w:t> </w:t>
            </w:r>
            <w:bookmarkStart w:id="352" w:name="xdx_406_eus-gaap--PaymentsOfStockIssuanc"/>
            <w:bookmarkEnd w:id="352"/>
          </w:p>
        </w:tc>
      </w:tr>
      <w:tr>
        <w:trPr/>
        <w:tc>
          <w:tcPr>
            <w:tcW w:w="6112" w:type="dxa"/>
            <w:tcBorders/>
            <w:shd w:fill="FFFFFF" w:val="clear"/>
            <w:vAlign w:val="center"/>
          </w:tcPr>
          <w:p>
            <w:pPr>
              <w:pStyle w:val="TableContents"/>
              <w:bidi w:val="0"/>
              <w:spacing w:before="0" w:after="283"/>
              <w:jc w:val="left"/>
              <w:rPr/>
            </w:pPr>
            <w:r>
              <w:rPr/>
              <w:t>Deferred IPO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53" w:name="xdx_980_eus-gaap--PaymentsOfStockIssuanc"/>
            <w:bookmarkEnd w:id="353"/>
          </w:p>
        </w:tc>
        <w:tc>
          <w:tcPr>
            <w:tcW w:w="939" w:type="dxa"/>
            <w:tcBorders/>
            <w:shd w:fill="FFFFFF" w:val="clear"/>
            <w:vAlign w:val="center"/>
          </w:tcPr>
          <w:p>
            <w:pPr>
              <w:pStyle w:val="TableContents"/>
              <w:bidi w:val="0"/>
              <w:spacing w:before="0" w:after="283"/>
              <w:jc w:val="right"/>
              <w:rPr/>
            </w:pPr>
            <w:r>
              <w:rPr/>
              <w:t>(1,117</w:t>
            </w:r>
          </w:p>
        </w:tc>
        <w:tc>
          <w:tcPr>
            <w:tcW w:w="111" w:type="dxa"/>
            <w:tcBorders/>
            <w:shd w:fill="FFFFFF" w:val="clear"/>
            <w:vAlign w:val="center"/>
          </w:tcPr>
          <w:p>
            <w:pPr>
              <w:pStyle w:val="TableContents"/>
              <w:bidi w:val="0"/>
              <w:spacing w:before="0" w:after="283"/>
              <w:jc w:val="left"/>
              <w:rPr/>
            </w:pPr>
            <w:r>
              <w:rPr/>
              <w:t>)</w:t>
            </w:r>
            <w:bookmarkStart w:id="354" w:name="xdx_406_eus-gaap--RepaymentsOfBankDebt_i"/>
            <w:bookmarkEnd w:id="354"/>
          </w:p>
        </w:tc>
      </w:tr>
      <w:tr>
        <w:trPr/>
        <w:tc>
          <w:tcPr>
            <w:tcW w:w="6112" w:type="dxa"/>
            <w:tcBorders/>
            <w:shd w:fill="CCEEFF" w:val="clear"/>
            <w:vAlign w:val="center"/>
          </w:tcPr>
          <w:p>
            <w:pPr>
              <w:pStyle w:val="TableContents"/>
              <w:bidi w:val="0"/>
              <w:spacing w:before="0" w:after="283"/>
              <w:jc w:val="left"/>
              <w:rPr/>
            </w:pPr>
            <w:r>
              <w:rPr/>
              <w:t>Repayment of bank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55" w:name="xdx_986_eus-gaap--RepaymentsOfBankDebt_i"/>
            <w:bookmarkEnd w:id="355"/>
          </w:p>
        </w:tc>
        <w:tc>
          <w:tcPr>
            <w:tcW w:w="93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356" w:name="xdx_408_ecustom--PrincipalRepaymentOfLea"/>
            <w:bookmarkEnd w:id="356"/>
          </w:p>
        </w:tc>
      </w:tr>
      <w:tr>
        <w:trPr/>
        <w:tc>
          <w:tcPr>
            <w:tcW w:w="6112" w:type="dxa"/>
            <w:tcBorders/>
            <w:shd w:fill="FFFFFF" w:val="clear"/>
            <w:vAlign w:val="center"/>
          </w:tcPr>
          <w:p>
            <w:pPr>
              <w:pStyle w:val="TableContents"/>
              <w:bidi w:val="0"/>
              <w:spacing w:before="0" w:after="283"/>
              <w:jc w:val="left"/>
              <w:rPr/>
            </w:pPr>
            <w:r>
              <w:rPr/>
              <w:t>Principal repayment of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57" w:name="xdx_98F_ecustom--PrincipalRepaymentOfLea"/>
            <w:bookmarkEnd w:id="357"/>
          </w:p>
        </w:tc>
        <w:tc>
          <w:tcPr>
            <w:tcW w:w="939" w:type="dxa"/>
            <w:tcBorders/>
            <w:shd w:fill="FFFFFF" w:val="clear"/>
            <w:vAlign w:val="center"/>
          </w:tcPr>
          <w:p>
            <w:pPr>
              <w:pStyle w:val="TableContents"/>
              <w:bidi w:val="0"/>
              <w:spacing w:before="0" w:after="283"/>
              <w:jc w:val="right"/>
              <w:rPr/>
            </w:pPr>
            <w:r>
              <w:rPr/>
              <w:t>(7,229</w:t>
            </w:r>
          </w:p>
        </w:tc>
        <w:tc>
          <w:tcPr>
            <w:tcW w:w="111" w:type="dxa"/>
            <w:tcBorders/>
            <w:shd w:fill="FFFFFF" w:val="clear"/>
            <w:vAlign w:val="center"/>
          </w:tcPr>
          <w:p>
            <w:pPr>
              <w:pStyle w:val="TableContents"/>
              <w:bidi w:val="0"/>
              <w:spacing w:before="0" w:after="283"/>
              <w:jc w:val="left"/>
              <w:rPr/>
            </w:pPr>
            <w:r>
              <w:rPr/>
              <w:t>)</w:t>
            </w:r>
            <w:bookmarkStart w:id="358" w:name="xdx_406_ecustom--ProceedFromIssuanceOfNe"/>
            <w:bookmarkEnd w:id="358"/>
          </w:p>
        </w:tc>
      </w:tr>
      <w:tr>
        <w:trPr/>
        <w:tc>
          <w:tcPr>
            <w:tcW w:w="6112" w:type="dxa"/>
            <w:tcBorders/>
            <w:shd w:fill="CCEEFF" w:val="clear"/>
            <w:vAlign w:val="center"/>
          </w:tcPr>
          <w:p>
            <w:pPr>
              <w:pStyle w:val="TableContents"/>
              <w:bidi w:val="0"/>
              <w:spacing w:before="0" w:after="283"/>
              <w:jc w:val="left"/>
              <w:rPr/>
            </w:pPr>
            <w:r>
              <w:rPr/>
              <w:t>Proceed from issuance of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59" w:name="xdx_982_ecustom--ProceedFromIssuanceOfNe"/>
            <w:bookmarkEnd w:id="359"/>
          </w:p>
        </w:tc>
        <w:tc>
          <w:tcPr>
            <w:tcW w:w="939" w:type="dxa"/>
            <w:tcBorders/>
            <w:shd w:fill="CCEEFF" w:val="clear"/>
            <w:vAlign w:val="center"/>
          </w:tcPr>
          <w:p>
            <w:pPr>
              <w:pStyle w:val="TableContents"/>
              <w:bidi w:val="0"/>
              <w:spacing w:before="0" w:after="283"/>
              <w:jc w:val="right"/>
              <w:rPr/>
            </w:pPr>
            <w:r>
              <w:rPr/>
              <w:t>6,402</w:t>
            </w:r>
          </w:p>
        </w:tc>
        <w:tc>
          <w:tcPr>
            <w:tcW w:w="111" w:type="dxa"/>
            <w:tcBorders/>
            <w:shd w:fill="CCEEFF" w:val="clear"/>
            <w:vAlign w:val="center"/>
          </w:tcPr>
          <w:p>
            <w:pPr>
              <w:pStyle w:val="TableContents"/>
              <w:bidi w:val="0"/>
              <w:spacing w:before="0" w:after="283"/>
              <w:jc w:val="left"/>
              <w:rPr/>
            </w:pPr>
            <w:r>
              <w:rPr/>
              <w:t> </w:t>
            </w:r>
            <w:bookmarkStart w:id="360" w:name="xdx_409_eus-gaap--PaymentsOfFinancingCos"/>
            <w:bookmarkEnd w:id="360"/>
          </w:p>
        </w:tc>
      </w:tr>
      <w:tr>
        <w:trPr/>
        <w:tc>
          <w:tcPr>
            <w:tcW w:w="6112" w:type="dxa"/>
            <w:tcBorders/>
            <w:shd w:fill="FFFFFF" w:val="clear"/>
            <w:vAlign w:val="center"/>
          </w:tcPr>
          <w:p>
            <w:pPr>
              <w:pStyle w:val="TableContents"/>
              <w:bidi w:val="0"/>
              <w:spacing w:before="0" w:after="283"/>
              <w:jc w:val="left"/>
              <w:rPr/>
            </w:pPr>
            <w:r>
              <w:rPr/>
              <w:t>Payment of deferred financing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1" w:name="xdx_98C_eus-gaap--PaymentsOfFinancingCos"/>
            <w:bookmarkEnd w:id="361"/>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(941</w:t>
            </w:r>
          </w:p>
        </w:tc>
        <w:tc>
          <w:tcPr>
            <w:tcW w:w="111" w:type="dxa"/>
            <w:tcBorders/>
            <w:shd w:fill="FFFFFF" w:val="clear"/>
            <w:vAlign w:val="center"/>
          </w:tcPr>
          <w:p>
            <w:pPr>
              <w:pStyle w:val="TableContents"/>
              <w:bidi w:val="0"/>
              <w:spacing w:before="0" w:after="283"/>
              <w:jc w:val="left"/>
              <w:rPr/>
            </w:pPr>
            <w:r>
              <w:rPr/>
              <w:t>)</w:t>
            </w:r>
            <w:bookmarkStart w:id="362" w:name="xdx_401_eus-gaap--NetCashProvidedByUsedI"/>
            <w:bookmarkEnd w:id="362"/>
          </w:p>
        </w:tc>
      </w:tr>
      <w:tr>
        <w:trPr/>
        <w:tc>
          <w:tcPr>
            <w:tcW w:w="6112"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3" w:name="xdx_984_eus-gaap--NetCashProvidedByUsedI"/>
            <w:bookmarkEnd w:id="363"/>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228</w:t>
            </w:r>
          </w:p>
        </w:tc>
        <w:tc>
          <w:tcPr>
            <w:tcW w:w="111" w:type="dxa"/>
            <w:tcBorders/>
            <w:shd w:fill="CCEEFF" w:val="clear"/>
            <w:vAlign w:val="center"/>
          </w:tcPr>
          <w:p>
            <w:pPr>
              <w:pStyle w:val="TableContents"/>
              <w:bidi w:val="0"/>
              <w:spacing w:before="0" w:after="283"/>
              <w:jc w:val="left"/>
              <w:rPr/>
            </w:pPr>
            <w:r>
              <w:rPr/>
              <w:t> </w:t>
            </w:r>
          </w:p>
        </w:tc>
      </w:tr>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64" w:name="xdx_40F_eus-gaap--EffectOfExchangeRateOn"/>
            <w:bookmarkEnd w:id="364"/>
          </w:p>
        </w:tc>
      </w:tr>
      <w:tr>
        <w:trPr/>
        <w:tc>
          <w:tcPr>
            <w:tcW w:w="6112" w:type="dxa"/>
            <w:tcBorders/>
            <w:shd w:fill="CCEEFF" w:val="clear"/>
            <w:vAlign w:val="center"/>
          </w:tcPr>
          <w:p>
            <w:pPr>
              <w:pStyle w:val="TableContents"/>
              <w:bidi w:val="0"/>
              <w:spacing w:before="0" w:after="283"/>
              <w:jc w:val="left"/>
              <w:rPr/>
            </w:pPr>
            <w:r>
              <w:rPr/>
              <w:t>Effect on exchange rate change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5" w:name="xdx_980_eus-gaap--EffectOfExchangeRateOn"/>
            <w:bookmarkEnd w:id="365"/>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11" w:type="dxa"/>
            <w:tcBorders/>
            <w:shd w:fill="CCEEFF" w:val="clear"/>
            <w:vAlign w:val="center"/>
          </w:tcPr>
          <w:p>
            <w:pPr>
              <w:pStyle w:val="TableContents"/>
              <w:bidi w:val="0"/>
              <w:spacing w:before="0" w:after="283"/>
              <w:jc w:val="left"/>
              <w:rPr/>
            </w:pPr>
            <w:r>
              <w:rPr/>
              <w:t> </w:t>
            </w:r>
          </w:p>
        </w:tc>
      </w:tr>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66" w:name="xdx_404_eus-gaap--CashCashEquivalentsRes"/>
            <w:bookmarkEnd w:id="366"/>
          </w:p>
        </w:tc>
      </w:tr>
      <w:tr>
        <w:trPr/>
        <w:tc>
          <w:tcPr>
            <w:tcW w:w="6112" w:type="dxa"/>
            <w:tcBorders/>
            <w:shd w:fill="CCEEFF" w:val="clear"/>
            <w:vAlign w:val="center"/>
          </w:tcPr>
          <w:p>
            <w:pPr>
              <w:pStyle w:val="TableContents"/>
              <w:bidi w:val="0"/>
              <w:spacing w:before="0" w:after="283"/>
              <w:jc w:val="left"/>
              <w:rPr>
                <w:b/>
              </w:rPr>
            </w:pPr>
            <w:r>
              <w:rPr>
                <w:b/>
              </w:rPr>
              <w:t>Net change in cash and cash equivalent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67" w:name="xdx_985_eus-gaap--CashCashEquivalentsRes"/>
            <w:bookmarkEnd w:id="367"/>
          </w:p>
        </w:tc>
        <w:tc>
          <w:tcPr>
            <w:tcW w:w="939" w:type="dxa"/>
            <w:tcBorders/>
            <w:shd w:fill="CCEEFF" w:val="clear"/>
            <w:vAlign w:val="center"/>
          </w:tcPr>
          <w:p>
            <w:pPr>
              <w:pStyle w:val="TableContents"/>
              <w:bidi w:val="0"/>
              <w:spacing w:before="0" w:after="283"/>
              <w:jc w:val="right"/>
              <w:rPr/>
            </w:pPr>
            <w:r>
              <w:rPr/>
              <w:t>7,807</w:t>
            </w:r>
          </w:p>
        </w:tc>
        <w:tc>
          <w:tcPr>
            <w:tcW w:w="111" w:type="dxa"/>
            <w:tcBorders/>
            <w:shd w:fill="CCEEFF" w:val="clear"/>
            <w:vAlign w:val="center"/>
          </w:tcPr>
          <w:p>
            <w:pPr>
              <w:pStyle w:val="TableContents"/>
              <w:bidi w:val="0"/>
              <w:spacing w:before="0" w:after="283"/>
              <w:jc w:val="left"/>
              <w:rPr/>
            </w:pPr>
            <w:r>
              <w:rPr/>
              <w:t> </w:t>
            </w:r>
          </w:p>
        </w:tc>
      </w:tr>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68" w:name="xdx_401_eus-gaap--CashCashEquivalentsRes"/>
            <w:bookmarkEnd w:id="368"/>
          </w:p>
        </w:tc>
      </w:tr>
      <w:tr>
        <w:trPr/>
        <w:tc>
          <w:tcPr>
            <w:tcW w:w="6112" w:type="dxa"/>
            <w:tcBorders/>
            <w:shd w:fill="CCEEFF" w:val="clear"/>
            <w:vAlign w:val="center"/>
          </w:tcPr>
          <w:p>
            <w:pPr>
              <w:pStyle w:val="TableContents"/>
              <w:bidi w:val="0"/>
              <w:spacing w:before="0" w:after="283"/>
              <w:jc w:val="left"/>
              <w:rPr>
                <w:b/>
              </w:rPr>
            </w:pPr>
            <w:r>
              <w:rPr>
                <w:b/>
              </w:rPr>
              <w:t>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9" w:name="xdx_98C_eus-gaap--CashCashEquivalentsRes"/>
            <w:bookmarkEnd w:id="369"/>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502</w:t>
            </w:r>
          </w:p>
        </w:tc>
        <w:tc>
          <w:tcPr>
            <w:tcW w:w="111" w:type="dxa"/>
            <w:tcBorders/>
            <w:shd w:fill="CCEEFF" w:val="clear"/>
            <w:vAlign w:val="center"/>
          </w:tcPr>
          <w:p>
            <w:pPr>
              <w:pStyle w:val="TableContents"/>
              <w:bidi w:val="0"/>
              <w:spacing w:before="0" w:after="283"/>
              <w:jc w:val="left"/>
              <w:rPr/>
            </w:pPr>
            <w:r>
              <w:rPr/>
              <w:t> </w:t>
            </w:r>
          </w:p>
        </w:tc>
      </w:tr>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70" w:name="xdx_407_eus-gaap--CashCashEquivalentsRes"/>
            <w:bookmarkEnd w:id="370"/>
          </w:p>
        </w:tc>
      </w:tr>
      <w:tr>
        <w:trPr/>
        <w:tc>
          <w:tcPr>
            <w:tcW w:w="6112" w:type="dxa"/>
            <w:tcBorders/>
            <w:shd w:fill="CCEEFF" w:val="clear"/>
            <w:vAlign w:val="center"/>
          </w:tcPr>
          <w:p>
            <w:pPr>
              <w:pStyle w:val="TableContents"/>
              <w:bidi w:val="0"/>
              <w:spacing w:before="0" w:after="283"/>
              <w:jc w:val="left"/>
              <w:rPr>
                <w:b/>
              </w:rPr>
            </w:pPr>
            <w:r>
              <w:rPr>
                <w:b/>
              </w:rPr>
              <w:t>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71" w:name="xdx_989_eus-gaap--CashCashEquivalentsRes"/>
            <w:bookmarkEnd w:id="371"/>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8,309</w:t>
            </w:r>
          </w:p>
        </w:tc>
        <w:tc>
          <w:tcPr>
            <w:tcW w:w="111" w:type="dxa"/>
            <w:tcBorders/>
            <w:shd w:fill="CCEEFF" w:val="clear"/>
            <w:vAlign w:val="center"/>
          </w:tcPr>
          <w:p>
            <w:pPr>
              <w:pStyle w:val="TableContents"/>
              <w:bidi w:val="0"/>
              <w:spacing w:before="0" w:after="283"/>
              <w:jc w:val="left"/>
              <w:rPr/>
            </w:pPr>
            <w:r>
              <w:rPr/>
              <w:t> </w:t>
            </w:r>
          </w:p>
        </w:tc>
      </w:tr>
      <w:tr>
        <w:trPr/>
        <w:tc>
          <w:tcPr>
            <w:tcW w:w="61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72" w:name="xdx_408_eus-gaap--SupplementalCashFlowIn"/>
            <w:bookmarkEnd w:id="372"/>
          </w:p>
        </w:tc>
      </w:tr>
      <w:tr>
        <w:trPr/>
        <w:tc>
          <w:tcPr>
            <w:tcW w:w="6112"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73" w:name="xdx_406_eus-gaap--IncomeTaxesPaidNet_i01"/>
            <w:bookmarkEnd w:id="373"/>
          </w:p>
        </w:tc>
      </w:tr>
      <w:tr>
        <w:trPr/>
        <w:tc>
          <w:tcPr>
            <w:tcW w:w="6112"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74" w:name="xdx_988_eus-gaap--IncomeTaxesPaidNet_i01"/>
            <w:bookmarkEnd w:id="374"/>
          </w:p>
        </w:tc>
        <w:tc>
          <w:tcPr>
            <w:tcW w:w="939" w:type="dxa"/>
            <w:tcBorders/>
            <w:shd w:fill="FFFFFF" w:val="clear"/>
            <w:vAlign w:val="center"/>
          </w:tcPr>
          <w:p>
            <w:pPr>
              <w:pStyle w:val="TableContents"/>
              <w:bidi w:val="0"/>
              <w:spacing w:before="0" w:after="283"/>
              <w:jc w:val="right"/>
              <w:rPr/>
            </w:pPr>
            <w:r>
              <w:rPr/>
              <w:t>89</w:t>
            </w:r>
          </w:p>
        </w:tc>
        <w:tc>
          <w:tcPr>
            <w:tcW w:w="111" w:type="dxa"/>
            <w:tcBorders/>
            <w:shd w:fill="FFFFFF" w:val="clear"/>
            <w:vAlign w:val="center"/>
          </w:tcPr>
          <w:p>
            <w:pPr>
              <w:pStyle w:val="TableContents"/>
              <w:bidi w:val="0"/>
              <w:spacing w:before="0" w:after="283"/>
              <w:jc w:val="left"/>
              <w:rPr/>
            </w:pPr>
            <w:r>
              <w:rPr/>
              <w:t> </w:t>
            </w:r>
            <w:bookmarkStart w:id="375" w:name="xdx_40C_eus-gaap--InterestPaidNet_i01_zi"/>
            <w:bookmarkEnd w:id="375"/>
          </w:p>
        </w:tc>
      </w:tr>
      <w:tr>
        <w:trPr/>
        <w:tc>
          <w:tcPr>
            <w:tcW w:w="6112"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376" w:name="xdx_98B_eus-gaap--InterestPaidNet_i01_uU"/>
            <w:bookmarkEnd w:id="376"/>
          </w:p>
        </w:tc>
        <w:tc>
          <w:tcPr>
            <w:tcW w:w="939" w:type="dxa"/>
            <w:tcBorders/>
            <w:shd w:fill="CCEEFF" w:val="clear"/>
            <w:vAlign w:val="center"/>
          </w:tcPr>
          <w:p>
            <w:pPr>
              <w:pStyle w:val="TableContents"/>
              <w:bidi w:val="0"/>
              <w:spacing w:before="0" w:after="283"/>
              <w:jc w:val="right"/>
              <w:rPr/>
            </w:pPr>
            <w:r>
              <w:rPr/>
              <w:t>684</w:t>
            </w:r>
          </w:p>
        </w:tc>
        <w:tc>
          <w:tcPr>
            <w:tcW w:w="111" w:type="dxa"/>
            <w:tcBorders/>
            <w:shd w:fill="CCEEFF" w:val="clear"/>
            <w:vAlign w:val="center"/>
          </w:tcPr>
          <w:p>
            <w:pPr>
              <w:pStyle w:val="TableContents"/>
              <w:bidi w:val="0"/>
              <w:spacing w:before="0" w:after="283"/>
              <w:jc w:val="left"/>
              <w:rPr/>
            </w:pPr>
            <w:r>
              <w:rPr/>
              <w:t> </w:t>
            </w:r>
            <w:bookmarkStart w:id="377" w:name="xdx_404_ecustom--CashReceivedFromFinance"/>
            <w:bookmarkEnd w:id="377"/>
          </w:p>
        </w:tc>
      </w:tr>
      <w:tr>
        <w:trPr/>
        <w:tc>
          <w:tcPr>
            <w:tcW w:w="6112" w:type="dxa"/>
            <w:tcBorders/>
            <w:shd w:fill="FFFFFF" w:val="clear"/>
            <w:vAlign w:val="center"/>
          </w:tcPr>
          <w:p>
            <w:pPr>
              <w:pStyle w:val="TableContents"/>
              <w:bidi w:val="0"/>
              <w:spacing w:before="0" w:after="283"/>
              <w:jc w:val="left"/>
              <w:rPr/>
            </w:pPr>
            <w:r>
              <w:rPr/>
              <w:t>Cash received from finance lease receivable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378" w:name="xdx_983_ecustom--CashReceivedFromFinance"/>
            <w:bookmarkEnd w:id="378"/>
          </w:p>
        </w:tc>
        <w:tc>
          <w:tcPr>
            <w:tcW w:w="939" w:type="dxa"/>
            <w:tcBorders/>
            <w:shd w:fill="FFFFFF" w:val="clear"/>
            <w:vAlign w:val="center"/>
          </w:tcPr>
          <w:p>
            <w:pPr>
              <w:pStyle w:val="TableContents"/>
              <w:bidi w:val="0"/>
              <w:spacing w:before="0" w:after="283"/>
              <w:jc w:val="right"/>
              <w:rPr/>
            </w:pPr>
            <w:r>
              <w:rPr/>
              <w:t>(206</w:t>
            </w:r>
          </w:p>
        </w:tc>
        <w:tc>
          <w:tcPr>
            <w:tcW w:w="111" w:type="dxa"/>
            <w:tcBorders/>
            <w:shd w:fill="FFFFFF" w:val="clear"/>
            <w:vAlign w:val="center"/>
          </w:tcPr>
          <w:p>
            <w:pPr>
              <w:pStyle w:val="TableContents"/>
              <w:bidi w:val="0"/>
              <w:spacing w:before="0" w:after="283"/>
              <w:jc w:val="left"/>
              <w:rPr/>
            </w:pPr>
            <w:r>
              <w:rPr/>
              <w:t>)</w:t>
            </w:r>
            <w:bookmarkStart w:id="379" w:name="xdx_40F_ecustom--OperatingLeaseAssetObta"/>
            <w:bookmarkEnd w:id="379"/>
          </w:p>
        </w:tc>
      </w:tr>
      <w:tr>
        <w:trPr/>
        <w:tc>
          <w:tcPr>
            <w:tcW w:w="6112" w:type="dxa"/>
            <w:tcBorders/>
            <w:shd w:fill="CCEEFF" w:val="clear"/>
            <w:vAlign w:val="center"/>
          </w:tcPr>
          <w:p>
            <w:pPr>
              <w:pStyle w:val="TableContents"/>
              <w:bidi w:val="0"/>
              <w:spacing w:before="0" w:after="283"/>
              <w:jc w:val="left"/>
              <w:rPr/>
            </w:pPr>
            <w:r>
              <w:rPr/>
              <w:t>Operating lease asset obtained in exchange for operating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80" w:name="xdx_98D_ecustom--OperatingLeaseAssetObta"/>
            <w:bookmarkEnd w:id="380"/>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275"/>
        <w:gridCol w:w="23"/>
        <w:gridCol w:w="9290"/>
      </w:tblGrid>
      <w:tr>
        <w:trPr/>
        <w:tc>
          <w:tcPr>
            <w:tcW w:w="275" w:type="dxa"/>
            <w:tcBorders/>
            <w:vAlign w:val="center"/>
          </w:tcPr>
          <w:p>
            <w:pPr>
              <w:pStyle w:val="TableContents"/>
              <w:bidi w:val="0"/>
              <w:spacing w:before="0" w:after="283"/>
              <w:jc w:val="right"/>
              <w:rPr/>
            </w:pPr>
            <w:bookmarkStart w:id="381" w:name="xdx_F05_zcp3kTbBQ4o6"/>
            <w:bookmarkEnd w:id="381"/>
            <w:r>
              <w:rPr/>
              <w:t>**</w:t>
            </w:r>
          </w:p>
        </w:tc>
        <w:tc>
          <w:tcPr>
            <w:tcW w:w="23" w:type="dxa"/>
            <w:tcBorders/>
            <w:vAlign w:val="center"/>
          </w:tcPr>
          <w:p>
            <w:pPr>
              <w:pStyle w:val="TableContents"/>
              <w:bidi w:val="0"/>
              <w:spacing w:before="0" w:after="283"/>
              <w:jc w:val="left"/>
              <w:rPr>
                <w:sz w:val="4"/>
                <w:szCs w:val="4"/>
              </w:rPr>
            </w:pPr>
            <w:r>
              <w:rPr>
                <w:sz w:val="4"/>
                <w:szCs w:val="4"/>
              </w:rPr>
            </w:r>
            <w:bookmarkStart w:id="382" w:name="xdx_F16_zNXCSxDzvbdi"/>
            <w:bookmarkStart w:id="383" w:name="xdx_F16_zNXCSxDzvbdi"/>
            <w:bookmarkEnd w:id="383"/>
          </w:p>
        </w:tc>
        <w:tc>
          <w:tcPr>
            <w:tcW w:w="9290" w:type="dxa"/>
            <w:tcBorders/>
            <w:vAlign w:val="center"/>
          </w:tcPr>
          <w:p>
            <w:pPr>
              <w:pStyle w:val="TableContents"/>
              <w:bidi w:val="0"/>
              <w:spacing w:before="0" w:after="283"/>
              <w:jc w:val="both"/>
              <w:rPr/>
            </w:pPr>
            <w:r>
              <w:rPr/>
              <w:t>There is a transfer of S$</w:t>
            </w:r>
            <w:bookmarkStart w:id="384" w:name="xdx_900_ecustom--PlantAndEquipmentToInve"/>
            <w:bookmarkEnd w:id="384"/>
            <w:r>
              <w:rPr/>
              <w:t>9.6 million (2024: S$</w:t>
            </w:r>
            <w:bookmarkStart w:id="385" w:name="xdx_908_ecustom--PlantAndEquipmentToInve"/>
            <w:bookmarkEnd w:id="385"/>
            <w:r>
              <w:rPr/>
              <w:t>7.9 million) from plant and equipment to inventories.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6" w:name="sp_005"/>
      <w:bookmarkEnd w:id="386"/>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87" w:name="xdx_80B_eus-gaap--BusinessDescriptionAnd"/>
      <w:bookmarkEnd w:id="387"/>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1 </w:t>
      </w:r>
      <w:bookmarkStart w:id="388" w:name="xdx_82E_zNKumorrEhJ6"/>
      <w:bookmarkEnd w:id="388"/>
      <w:r>
        <w:rPr>
          <w:rFonts w:ascii="Times New Roman;Times;Serif" w:hAnsi="Times New Roman;Times;Serif"/>
          <w:b/>
          <w:i w:val="false"/>
          <w:caps w:val="false"/>
          <w:smallCaps w:val="false"/>
          <w:sz w:val="20"/>
        </w:rPr>
        <w:t>BUSINESS OVERVIEW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International Holdings Limited is incorporated in the Cayman Islands on March 17, 2023 as an investment holding company. Ten-League International Holdings Limited conducts its primary operations, through its subsidiaries that are incorporated and domiciled in Singapore namely: 1) Ten-League Engineering &amp; Technology Pte. Ltd. and 2) Ten-League Port Engineering Solutions Pte. Ltd. (collectively referred to as the “Company”). The subsidiaries are fully integrated and comprehensive provider of turnkey project solutions including equipment, value-added engineering solutions as well as maintenance and repair services to the port, construction, civil engineering and underground foundation industries. The Company has more than 24 years of experience as an engineering solutions provider in the port, construction, civil engineering and underground foundation industries and possess a strong and proven track record. We provide “one-stop solution” including heavy equipment sales and rental, customized value-added engineering solutions and equipment maintenance and repair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Ten-League International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International Holdings Limited was incorporated in the Cayman Islands on March 17, 2023 under the Companies Act as an exempted company with limited liability. The authorized share capital was US$</w:t>
      </w:r>
      <w:bookmarkStart w:id="389" w:name="xdx_901_ecustom--ShareCapital_iI_uUSD_c2"/>
      <w:bookmarkEnd w:id="389"/>
      <w:r>
        <w:rPr>
          <w:rFonts w:ascii="Times New Roman;Times;Serif" w:hAnsi="Times New Roman;Times;Serif"/>
          <w:b w:val="false"/>
          <w:i w:val="false"/>
          <w:caps w:val="false"/>
          <w:smallCaps w:val="false"/>
          <w:sz w:val="20"/>
        </w:rPr>
        <w:t xml:space="preserve">500,000 divided into </w:t>
      </w:r>
      <w:bookmarkStart w:id="390" w:name="xdx_907_eus-gaap--CommonStockSharesAutho"/>
      <w:bookmarkEnd w:id="390"/>
      <w:r>
        <w:rPr>
          <w:rFonts w:ascii="Times New Roman;Times;Serif" w:hAnsi="Times New Roman;Times;Serif"/>
          <w:b w:val="false"/>
          <w:i w:val="false"/>
          <w:caps w:val="false"/>
          <w:smallCaps w:val="false"/>
          <w:sz w:val="20"/>
        </w:rPr>
        <w:t>500,000,000 Ordinary shares, par value US$</w:t>
      </w:r>
      <w:bookmarkStart w:id="391" w:name="xdx_900_eus-gaap--CommonStockParOrStated"/>
      <w:bookmarkEnd w:id="391"/>
      <w:r>
        <w:rPr>
          <w:rFonts w:ascii="Times New Roman;Times;Serif" w:hAnsi="Times New Roman;Times;Serif"/>
          <w:b w:val="false"/>
          <w:i w:val="false"/>
          <w:caps w:val="false"/>
          <w:smallCaps w:val="false"/>
          <w:sz w:val="20"/>
        </w:rPr>
        <w:t xml:space="preserve">0.001 each at the time of incorporation and the initial 1 share was transferred to Ten-League Corporations Pte. Ltd. on the date of incorporation for cash at par. On July 6, 2023, Ten-League Corporations Pte. Ltd., LJSC Holdings Limited, Undersea Capital Holdings Limited, and Jules Verne Investments Limited subscribed for </w:t>
      </w:r>
      <w:bookmarkStart w:id="392" w:name="xdx_90C_eus-gaap--CommonStockSharesSubsc"/>
      <w:bookmarkEnd w:id="392"/>
      <w:r>
        <w:rPr>
          <w:rFonts w:ascii="Times New Roman;Times;Serif" w:hAnsi="Times New Roman;Times;Serif"/>
          <w:b w:val="false"/>
          <w:i w:val="false"/>
          <w:caps w:val="false"/>
          <w:smallCaps w:val="false"/>
          <w:sz w:val="20"/>
        </w:rPr>
        <w:t xml:space="preserve">850, </w:t>
      </w:r>
      <w:bookmarkStart w:id="393" w:name="xdx_901_eus-gaap--CommonStockSharesSubsc"/>
      <w:bookmarkEnd w:id="393"/>
      <w:r>
        <w:rPr>
          <w:rFonts w:ascii="Times New Roman;Times;Serif" w:hAnsi="Times New Roman;Times;Serif"/>
          <w:b w:val="false"/>
          <w:i w:val="false"/>
          <w:caps w:val="false"/>
          <w:smallCaps w:val="false"/>
          <w:sz w:val="20"/>
        </w:rPr>
        <w:t xml:space="preserve">49, </w:t>
      </w:r>
      <w:bookmarkStart w:id="394" w:name="xdx_900_eus-gaap--CommonStockSharesSubsc"/>
      <w:bookmarkEnd w:id="394"/>
      <w:r>
        <w:rPr>
          <w:rFonts w:ascii="Times New Roman;Times;Serif" w:hAnsi="Times New Roman;Times;Serif"/>
          <w:b w:val="false"/>
          <w:i w:val="false"/>
          <w:caps w:val="false"/>
          <w:smallCaps w:val="false"/>
          <w:sz w:val="20"/>
        </w:rPr>
        <w:t xml:space="preserve">49 and </w:t>
      </w:r>
      <w:bookmarkStart w:id="395" w:name="xdx_90F_eus-gaap--CommonStockSharesSubsc"/>
      <w:bookmarkEnd w:id="395"/>
      <w:r>
        <w:rPr>
          <w:rFonts w:ascii="Times New Roman;Times;Serif" w:hAnsi="Times New Roman;Times;Serif"/>
          <w:b w:val="false"/>
          <w:i w:val="false"/>
          <w:caps w:val="false"/>
          <w:smallCaps w:val="false"/>
          <w:sz w:val="20"/>
        </w:rPr>
        <w:t xml:space="preserve">49 shares for cash at par resulting in Ten-League Corporations Pte. Ltd., LJSC Holdings Limited, Undersea Capital Holdings Limited, and Jules Verne Investments Limited holding approximately </w:t>
      </w:r>
      <w:bookmarkStart w:id="396" w:name="xdx_90C_eus-gaap--EquityMethodInvestment"/>
      <w:bookmarkEnd w:id="396"/>
      <w:r>
        <w:rPr>
          <w:rFonts w:ascii="Times New Roman;Times;Serif" w:hAnsi="Times New Roman;Times;Serif"/>
          <w:b w:val="false"/>
          <w:i w:val="false"/>
          <w:caps w:val="false"/>
          <w:smallCaps w:val="false"/>
          <w:sz w:val="20"/>
        </w:rPr>
        <w:t xml:space="preserve">85.27%, </w:t>
      </w:r>
      <w:bookmarkStart w:id="397" w:name="xdx_90E_eus-gaap--EquityMethodInvestment"/>
      <w:bookmarkEnd w:id="397"/>
      <w:r>
        <w:rPr>
          <w:rFonts w:ascii="Times New Roman;Times;Serif" w:hAnsi="Times New Roman;Times;Serif"/>
          <w:b w:val="false"/>
          <w:i w:val="false"/>
          <w:caps w:val="false"/>
          <w:smallCaps w:val="false"/>
          <w:sz w:val="20"/>
        </w:rPr>
        <w:t xml:space="preserve">4.90%, </w:t>
      </w:r>
      <w:bookmarkStart w:id="398" w:name="xdx_908_eus-gaap--EquityMethodInvestment"/>
      <w:bookmarkEnd w:id="398"/>
      <w:r>
        <w:rPr>
          <w:rFonts w:ascii="Times New Roman;Times;Serif" w:hAnsi="Times New Roman;Times;Serif"/>
          <w:b w:val="false"/>
          <w:i w:val="false"/>
          <w:caps w:val="false"/>
          <w:smallCaps w:val="false"/>
          <w:sz w:val="20"/>
        </w:rPr>
        <w:t xml:space="preserve">4.90% and </w:t>
      </w:r>
      <w:bookmarkStart w:id="399" w:name="xdx_902_eus-gaap--EquityMethodInvestment"/>
      <w:bookmarkEnd w:id="399"/>
      <w:r>
        <w:rPr>
          <w:rFonts w:ascii="Times New Roman;Times;Serif" w:hAnsi="Times New Roman;Times;Serif"/>
          <w:b w:val="false"/>
          <w:i w:val="false"/>
          <w:caps w:val="false"/>
          <w:smallCaps w:val="false"/>
          <w:sz w:val="20"/>
        </w:rPr>
        <w:t xml:space="preserve">4.90%, respectively, of the entire issued share capital of Ten-League International Holdings Limited. On February 16, 2024, </w:t>
      </w:r>
      <w:bookmarkStart w:id="400" w:name="xdx_90E_eus-gaap--SharesIssued_iI_pid_c2"/>
      <w:bookmarkEnd w:id="400"/>
      <w:r>
        <w:rPr>
          <w:rFonts w:ascii="Times New Roman;Times;Serif" w:hAnsi="Times New Roman;Times;Serif"/>
          <w:b w:val="false"/>
          <w:i w:val="false"/>
          <w:caps w:val="false"/>
          <w:smallCaps w:val="false"/>
          <w:sz w:val="20"/>
        </w:rPr>
        <w:t xml:space="preserve">999,000 shares were allotted and raised pro rata to existing shareholders of the Company on that date at par. </w:t>
      </w:r>
      <w:bookmarkStart w:id="401" w:name="xdx_902_eus-gaap--StockholdersEquityNote"/>
      <w:bookmarkEnd w:id="401"/>
      <w:r>
        <w:rPr>
          <w:rFonts w:ascii="Times New Roman;Times;Serif" w:hAnsi="Times New Roman;Times;Serif"/>
          <w:b w:val="false"/>
          <w:i w:val="false"/>
          <w:caps w:val="false"/>
          <w:smallCaps w:val="false"/>
          <w:sz w:val="20"/>
        </w:rPr>
        <w:t>After the completion of the Forward Split on the basis of 40 ordinary shares for every one share of our Company, our authorized share capital has been changed to US$</w:t>
      </w:r>
      <w:bookmarkStart w:id="402" w:name="xdx_905_ecustom--ShareCapital_iI_c202402"/>
      <w:bookmarkEnd w:id="402"/>
      <w:r>
        <w:rPr>
          <w:rFonts w:ascii="Times New Roman;Times;Serif" w:hAnsi="Times New Roman;Times;Serif"/>
          <w:b w:val="false"/>
          <w:i w:val="false"/>
          <w:caps w:val="false"/>
          <w:smallCaps w:val="false"/>
          <w:sz w:val="20"/>
        </w:rPr>
        <w:t xml:space="preserve">500,000 divided into </w:t>
      </w:r>
      <w:bookmarkStart w:id="403" w:name="xdx_90A_eus-gaap--CommonStockSharesAutho"/>
      <w:bookmarkEnd w:id="403"/>
      <w:r>
        <w:rPr>
          <w:rFonts w:ascii="Times New Roman;Times;Serif" w:hAnsi="Times New Roman;Times;Serif"/>
          <w:b w:val="false"/>
          <w:i w:val="false"/>
          <w:caps w:val="false"/>
          <w:smallCaps w:val="false"/>
          <w:sz w:val="20"/>
        </w:rPr>
        <w:t>20,000,000,000 ordinary shares, par value of US$</w:t>
      </w:r>
      <w:bookmarkStart w:id="404" w:name="xdx_906_eus-gaap--CommonStockParOrStated"/>
      <w:bookmarkEnd w:id="404"/>
      <w:r>
        <w:rPr>
          <w:rFonts w:ascii="Times New Roman;Times;Serif" w:hAnsi="Times New Roman;Times;Serif"/>
          <w:b w:val="false"/>
          <w:i w:val="false"/>
          <w:caps w:val="false"/>
          <w:smallCaps w:val="false"/>
          <w:sz w:val="20"/>
        </w:rPr>
        <w:t xml:space="preserve">0.000025 each. Following the completion of the Forward Split on February 16, 2024, the Share Surrenders and prior to the offerings, our total issued shares are held as to </w:t>
      </w:r>
      <w:bookmarkStart w:id="405" w:name="xdx_90F_eus-gaap--CommonStockSharesIssue"/>
      <w:bookmarkEnd w:id="405"/>
      <w:r>
        <w:rPr>
          <w:rFonts w:ascii="Times New Roman;Times;Serif" w:hAnsi="Times New Roman;Times;Serif"/>
          <w:b w:val="false"/>
          <w:i w:val="false"/>
          <w:caps w:val="false"/>
          <w:smallCaps w:val="false"/>
          <w:sz w:val="20"/>
        </w:rPr>
        <w:t xml:space="preserve">23,710,415 shares by Ten-League Corporations Pte. Ltd, </w:t>
      </w:r>
      <w:bookmarkStart w:id="406" w:name="xdx_90E_eus-gaap--CommonStockSharesIssue"/>
      <w:bookmarkEnd w:id="406"/>
      <w:r>
        <w:rPr>
          <w:rFonts w:ascii="Times New Roman;Times;Serif" w:hAnsi="Times New Roman;Times;Serif"/>
          <w:b w:val="false"/>
          <w:i w:val="false"/>
          <w:caps w:val="false"/>
          <w:smallCaps w:val="false"/>
          <w:sz w:val="20"/>
        </w:rPr>
        <w:t xml:space="preserve">1,362,029 shares by Jules Verne Investments Limited, </w:t>
      </w:r>
      <w:bookmarkStart w:id="407" w:name="xdx_901_eus-gaap--CommonStockSharesIssue"/>
      <w:bookmarkEnd w:id="407"/>
      <w:r>
        <w:rPr>
          <w:rFonts w:ascii="Times New Roman;Times;Serif" w:hAnsi="Times New Roman;Times;Serif"/>
          <w:b w:val="false"/>
          <w:i w:val="false"/>
          <w:caps w:val="false"/>
          <w:smallCaps w:val="false"/>
          <w:sz w:val="20"/>
        </w:rPr>
        <w:t xml:space="preserve">1,362,029 shares by LJSC Holdings Limited and </w:t>
      </w:r>
      <w:bookmarkStart w:id="408" w:name="xdx_907_eus-gaap--CommonStockSharesIssue"/>
      <w:bookmarkEnd w:id="408"/>
      <w:r>
        <w:rPr>
          <w:rFonts w:ascii="Times New Roman;Times;Serif" w:hAnsi="Times New Roman;Times;Serif"/>
          <w:b w:val="false"/>
          <w:i w:val="false"/>
          <w:caps w:val="false"/>
          <w:smallCaps w:val="false"/>
          <w:sz w:val="20"/>
        </w:rPr>
        <w:t>1,362,029 shares by Undersea Capital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Ten-League Venture Capital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2023, Ten-League Venture Capital Limited was incorporated in the British Virgin Islands with limited liability. Ten-League Venture Capital Limited is authorized to issue a maximum of </w:t>
      </w:r>
      <w:bookmarkStart w:id="409" w:name="xdx_907_eus-gaap--CommonStockSharesAutho"/>
      <w:bookmarkEnd w:id="409"/>
      <w:r>
        <w:rPr>
          <w:rFonts w:ascii="Times New Roman;Times;Serif" w:hAnsi="Times New Roman;Times;Serif"/>
          <w:b w:val="false"/>
          <w:i w:val="false"/>
          <w:caps w:val="false"/>
          <w:smallCaps w:val="false"/>
          <w:sz w:val="20"/>
        </w:rPr>
        <w:t>50,000 shares of a single class each with a par value of US$</w:t>
      </w:r>
      <w:bookmarkStart w:id="410" w:name="xdx_903_eus-gaap--CommonStockParOrStated"/>
      <w:bookmarkEnd w:id="410"/>
      <w:r>
        <w:rPr>
          <w:rFonts w:ascii="Times New Roman;Times;Serif" w:hAnsi="Times New Roman;Times;Serif"/>
          <w:b w:val="false"/>
          <w:i w:val="false"/>
          <w:caps w:val="false"/>
          <w:smallCaps w:val="false"/>
          <w:sz w:val="20"/>
        </w:rPr>
        <w:t xml:space="preserve">1.00 each and the initial </w:t>
      </w:r>
      <w:bookmarkStart w:id="411" w:name="xdx_907_eus-gaap--StockIssuedDuringPerio"/>
      <w:bookmarkEnd w:id="411"/>
      <w:r>
        <w:rPr>
          <w:rFonts w:ascii="Times New Roman;Times;Serif" w:hAnsi="Times New Roman;Times;Serif"/>
          <w:b w:val="false"/>
          <w:i w:val="false"/>
          <w:caps w:val="false"/>
          <w:smallCaps w:val="false"/>
          <w:sz w:val="20"/>
        </w:rPr>
        <w:t>1 share was transferred to Ten-League International Holdings Limited on the date of incorporation for cash at par.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Ten-League Corporations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Ten-League Corporations Pte. Ltd. and Ten-League International Holdings Limited will enter into share swap agreements prior to the offering, pursuant to which Ten-League Corporations Pte. Ltd. will transfer its entire </w:t>
      </w:r>
      <w:bookmarkStart w:id="412" w:name="xdx_901_eus-gaap--BusinessAcquisitionPer"/>
      <w:bookmarkEnd w:id="412"/>
      <w:r>
        <w:rPr>
          <w:rFonts w:ascii="Times New Roman;Times;Serif" w:hAnsi="Times New Roman;Times;Serif"/>
          <w:b w:val="false"/>
          <w:i w:val="false"/>
          <w:caps w:val="false"/>
          <w:smallCaps w:val="false"/>
          <w:sz w:val="20"/>
        </w:rPr>
        <w:t>100% shareholding interest in Ten-League Engineering &amp; Technology Pte. Ltd. and Ten-League Port Engineering Solutions Pte. Ltd. to the nominee of Ten-League International Holdings Limited, Ten-League Venture Capital Limited, for the consideration of Ten-League International Holdings Limited allotting and issuing 2 shares to Ten-League Corporations Pte. Ltd., credited as fully paid, and Ten-League Venture Capital Limited allotting and issuing 2 shares to Ten-League International Holdings Limited, credited as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our reorganization whereby the entire share capital of Ten-League Engineering &amp; Technology Pte. Ltd. and Ten-League Port Engineering Solutions Pte. Ltd. will be transferred, the Group will comprise Ten-League Venture Capital Limited, Ten-League Engineering &amp; Technology Pte. Ltd. and Ten-League Port Engineering Solutions Pte. Ltd. as our direct and indirect wholly-owned subsidiaries,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complete a reorganization whereby Ten-League Engineering &amp; Technology Pte. Ltd. and Ten-League Port Engineering Solutions Pte. Ltd. will be under the common control of Ten-League Venture Capital Limited (a wholly-owned subsidiary of the Company) which collectively will own all the equity interests of Ten-League Engineering &amp; Technology Pte. Ltd. and Ten-League Port Engineering Solutions Pte. Ltd. The consolidated financial statements are prepared on the basis as if the reorganization became effective as of the beginning of the first period presented in the accompanying consolidated financial statements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3" w:name="xdx_89C_eus-gaap--ConsolidationLessThanW"/>
      <w:bookmarkEnd w:id="413"/>
      <w:r>
        <w:rPr>
          <w:rFonts w:ascii="Times New Roman;Times;Serif" w:hAnsi="Times New Roman;Times;Serif"/>
          <w:b w:val="false"/>
          <w:i w:val="false"/>
          <w:caps w:val="false"/>
          <w:smallCaps w:val="false"/>
          <w:sz w:val="20"/>
          <w:u w:val="single"/>
        </w:rPr>
        <w:t>Description of subsidiaries incorporated and controlled by the Company</w:t>
      </w:r>
    </w:p>
    <w:p>
      <w:pPr>
        <w:pStyle w:val="TextBody"/>
        <w:bidi w:val="0"/>
        <w:spacing w:before="0" w:after="0"/>
        <w:ind w:left="0" w:right="0" w:hanging="0"/>
        <w:jc w:val="both"/>
        <w:rPr>
          <w:caps w:val="false"/>
          <w:smallCaps w:val="false"/>
        </w:rPr>
      </w:pPr>
      <w:r>
        <w:rPr>
          <w:caps w:val="false"/>
          <w:smallCaps w:val="false"/>
        </w:rPr>
        <w:t> </w:t>
      </w:r>
      <w:bookmarkStart w:id="414" w:name="xdx_8BD_zyyqseYaF1m6"/>
      <w:bookmarkEnd w:id="414"/>
      <w:r>
        <w:rPr>
          <w:rFonts w:ascii="Times New Roman;Times;Serif" w:hAnsi="Times New Roman;Times;Serif"/>
          <w:b w:val="false"/>
          <w:i w:val="false"/>
          <w:caps w:val="false"/>
          <w:smallCaps w:val="false"/>
          <w:sz w:val="20"/>
        </w:rPr>
        <w:t>SCHEDULE OF SUBSIDIARIES INCORPORATED</w:t>
      </w:r>
    </w:p>
    <w:tbl>
      <w:tblPr>
        <w:tblW w:w="10205" w:type="dxa"/>
        <w:jc w:val="left"/>
        <w:tblInd w:w="0" w:type="dxa"/>
        <w:tblLayout w:type="fixed"/>
        <w:tblCellMar>
          <w:top w:w="0" w:type="dxa"/>
          <w:left w:w="0" w:type="dxa"/>
          <w:bottom w:w="28" w:type="dxa"/>
          <w:right w:w="0" w:type="dxa"/>
        </w:tblCellMar>
      </w:tblPr>
      <w:tblGrid>
        <w:gridCol w:w="2645"/>
        <w:gridCol w:w="60"/>
        <w:gridCol w:w="6166"/>
        <w:gridCol w:w="60"/>
        <w:gridCol w:w="1274"/>
      </w:tblGrid>
      <w:tr>
        <w:trPr/>
        <w:tc>
          <w:tcPr>
            <w:tcW w:w="26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ownership</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Venture Capital Limited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5" w:name="xdx_908_eus-gaap--EquityMethodInvestment"/>
            <w:bookmarkEnd w:id="415"/>
            <w:r>
              <w:rPr>
                <w:rFonts w:ascii="Times New Roman;Times;Serif" w:hAnsi="Times New Roman;Times;Serif"/>
                <w:b w:val="false"/>
                <w:i w:val="false"/>
                <w:caps w:val="false"/>
                <w:smallCaps w:val="false"/>
                <w:sz w:val="20"/>
              </w:rPr>
              <w:t>Investment holding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6" w:name="xdx_905_eus-gaap--EquityMethodInvestment"/>
            <w:bookmarkEnd w:id="416"/>
            <w:r>
              <w:rPr>
                <w:rFonts w:ascii="Times New Roman;Times;Serif" w:hAnsi="Times New Roman;Times;Serif"/>
                <w:b w:val="false"/>
                <w:i w:val="false"/>
                <w:caps w:val="false"/>
                <w:smallCaps w:val="false"/>
                <w:sz w:val="20"/>
              </w:rPr>
              <w:t>100%</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Engineering &amp; Technology Pte. Ltd.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7" w:name="xdx_90E_eus-gaap--EquityMethodInvestment"/>
            <w:bookmarkEnd w:id="417"/>
            <w:r>
              <w:rPr>
                <w:rFonts w:ascii="Times New Roman;Times;Serif" w:hAnsi="Times New Roman;Times;Serif"/>
                <w:b w:val="false"/>
                <w:i w:val="false"/>
                <w:caps w:val="false"/>
                <w:smallCaps w:val="false"/>
                <w:sz w:val="20"/>
              </w:rPr>
              <w:t>Principally engaged in the sales, rental, maintenance and repair and value-added engineering solutions of heavy construction equipment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8" w:name="xdx_904_eus-gaap--EquityMethodInvestment"/>
            <w:bookmarkEnd w:id="418"/>
            <w:r>
              <w:rPr>
                <w:rFonts w:ascii="Times New Roman;Times;Serif" w:hAnsi="Times New Roman;Times;Serif"/>
                <w:b w:val="false"/>
                <w:i w:val="false"/>
                <w:caps w:val="false"/>
                <w:smallCaps w:val="false"/>
                <w:sz w:val="20"/>
              </w:rPr>
              <w:t xml:space="preserve">100% </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Port Engineering Solutions Pte. Ltd.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16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9" w:name="xdx_90C_eus-gaap--EquityMethodInvestment"/>
            <w:bookmarkEnd w:id="419"/>
            <w:r>
              <w:rPr>
                <w:rFonts w:ascii="Times New Roman;Times;Serif" w:hAnsi="Times New Roman;Times;Serif"/>
                <w:b w:val="false"/>
                <w:i w:val="false"/>
                <w:caps w:val="false"/>
                <w:smallCaps w:val="false"/>
                <w:sz w:val="20"/>
              </w:rPr>
              <w:t>Principally engaged in the sales, rental, maintenance and repair and value-added engineering solutions of heavy port equipment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0" w:name="xdx_906_eus-gaap--EquityMethodInvestment"/>
            <w:bookmarkEnd w:id="420"/>
            <w:r>
              <w:rPr>
                <w:rFonts w:ascii="Times New Roman;Times;Serif" w:hAnsi="Times New Roman;Times;Serif"/>
                <w:b w:val="false"/>
                <w:i w:val="false"/>
                <w:caps w:val="false"/>
                <w:smallCaps w:val="false"/>
                <w:sz w:val="20"/>
              </w:rPr>
              <w:t xml:space="preserve">100% </w:t>
            </w:r>
          </w:p>
        </w:tc>
      </w:tr>
    </w:tbl>
    <w:p>
      <w:pPr>
        <w:pStyle w:val="TextBody"/>
        <w:bidi w:val="0"/>
        <w:spacing w:before="0" w:after="0"/>
        <w:ind w:left="0" w:right="0" w:hanging="0"/>
        <w:jc w:val="both"/>
        <w:rPr>
          <w:caps w:val="false"/>
          <w:smallCaps w:val="false"/>
        </w:rPr>
      </w:pPr>
      <w:bookmarkStart w:id="421" w:name="xdx_8A1_zHFbXv7sCDGk"/>
      <w:bookmarkEnd w:id="4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assuming that the Company was in existence at the beginning of the first period presented.</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2025, the Company completed its initial public offering. In this offering, the Company issued </w:t>
      </w:r>
      <w:bookmarkStart w:id="422" w:name="xdx_90C_eus-gaap--StockIssuedDuringPerio"/>
      <w:bookmarkEnd w:id="422"/>
      <w:r>
        <w:rPr>
          <w:rFonts w:ascii="Times New Roman;Times;Serif" w:hAnsi="Times New Roman;Times;Serif"/>
          <w:b w:val="false"/>
          <w:i w:val="false"/>
          <w:caps w:val="false"/>
          <w:smallCaps w:val="false"/>
          <w:sz w:val="20"/>
        </w:rPr>
        <w:t>1,607,840 ordinary shares at a price of US$</w:t>
      </w:r>
      <w:bookmarkStart w:id="423" w:name="xdx_90B_eus-gaap--SharePrice_iI_pid_c202"/>
      <w:bookmarkEnd w:id="423"/>
      <w:r>
        <w:rPr>
          <w:rFonts w:ascii="Times New Roman;Times;Serif" w:hAnsi="Times New Roman;Times;Serif"/>
          <w:b w:val="false"/>
          <w:i w:val="false"/>
          <w:caps w:val="false"/>
          <w:smallCaps w:val="false"/>
          <w:sz w:val="20"/>
        </w:rPr>
        <w:t>4.00 per share. The Company received gross proceeds in the amount of US$</w:t>
      </w:r>
      <w:bookmarkStart w:id="424" w:name="xdx_90A_eus-gaap--ProceedsFromIssuanceIn"/>
      <w:bookmarkEnd w:id="424"/>
      <w:r>
        <w:rPr>
          <w:rFonts w:ascii="Times New Roman;Times;Serif" w:hAnsi="Times New Roman;Times;Serif"/>
          <w:b w:val="false"/>
          <w:i w:val="false"/>
          <w:caps w:val="false"/>
          <w:smallCaps w:val="false"/>
          <w:sz w:val="20"/>
        </w:rPr>
        <w:t>6.4 million before deducting any underwriting discounts or expenses. The Ordinary Shares began trading on July 8, 2025 on the Nasdaq Capital Market under the ticker symbol “TLIH”.</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25" w:name="xdx_803_eus-gaap--SignificantAccountingP"/>
      <w:bookmarkEnd w:id="425"/>
      <w:r>
        <w:rPr>
          <w:rFonts w:ascii="Times New Roman;Times;Serif" w:hAnsi="Times New Roman;Times;Serif"/>
          <w:b/>
          <w:i w:val="false"/>
          <w:caps w:val="false"/>
          <w:smallCaps w:val="false"/>
          <w:sz w:val="20"/>
        </w:rPr>
        <w:t>NOTE</w:t>
      </w:r>
      <w:r>
        <w:rPr>
          <w:rFonts w:eastAsia="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2 </w:t>
      </w:r>
      <w:bookmarkStart w:id="426" w:name="xdx_824_zDSF2wVzjyNj"/>
      <w:bookmarkEnd w:id="42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reflect the application of certain significant accounting policies as described in this note and elsewhere in the accompanying consolidated financial statements and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27" w:name="xdx_867_znDkcv5pSwVf"/>
      <w:bookmarkStart w:id="428" w:name="xdx_84D_eus-gaap--BasisOfAccountingPolic"/>
      <w:bookmarkEnd w:id="427"/>
      <w:bookmarkEnd w:id="428"/>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pursuant to the regulations of the U.S.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29" w:name="xdx_869_zliYrQk1GDj2"/>
      <w:bookmarkStart w:id="430" w:name="xdx_840_ecustom--RisksAndUncertaintiesPo"/>
      <w:bookmarkEnd w:id="429"/>
      <w:bookmarkEnd w:id="430"/>
      <w:r>
        <w:rPr>
          <w:rFonts w:ascii="Times New Roman;Times;Serif" w:hAnsi="Times New Roman;Times;Serif"/>
          <w:b w:val="false"/>
          <w:i w:val="false"/>
          <w:caps w:val="false"/>
          <w:smallCaps w:val="false"/>
          <w:sz w:val="20"/>
          <w:u w:val="single"/>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operations of the Company are in Singapore. Accordingly, the Company’s business, financial condition, and results of operations may be influenced by political, economic, and legal environments in Singapore, as well as by the general state of the economy in Singapore. The Company’s results may be adversely affected by changes in the political, regulatory and social conditions in Singapore. The Company believes that it is following existing laws and regulations including its organization and structure disclosed in Note 1, such experience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31" w:name="xdx_863_z0PdHkwvAkOk"/>
      <w:bookmarkStart w:id="432" w:name="xdx_84E_eus-gaap--UseOfEstimates_ztubpDp"/>
      <w:bookmarkEnd w:id="431"/>
      <w:bookmarkEnd w:id="432"/>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periods presented. Significant accounting estimates reflected in our consolidated financial statements include the provision for allowance for expected credit losses on accounts receivables, impairment assessment on inventories, useful lives for plant and equipment and impairment assessment on long-lived assets, revenue recognition, and deferred taxes and uncertain tax position. Actual results could vary from the estimates and assumptions that were used.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33" w:name="xdx_866_zNr6xbcwfVV3"/>
      <w:bookmarkStart w:id="434" w:name="xdx_848_eus-gaap--ConsolidationPolicyTex"/>
      <w:bookmarkEnd w:id="433"/>
      <w:bookmarkEnd w:id="434"/>
      <w:r>
        <w:rPr>
          <w:rFonts w:ascii="Times New Roman;Times;Serif" w:hAnsi="Times New Roman;Times;Serif"/>
          <w:b w:val="false"/>
          <w:i w:val="false"/>
          <w:caps w:val="false"/>
          <w:smallCaps w:val="false"/>
          <w:sz w:val="20"/>
          <w:u w:val="single"/>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significant inter-company balances and transactions within the Company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consolidation the entities should be combined for all periods that the relationship of common control started and the transaction would be treated as a capital transaction with any gain or loss on acquisition adjusted through equity. The consolidated entity would not recognize any goodwill and/or gain/losses from the acquisition and results of operations would be presented for all periods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were prepared by applying the pooling of interest method. Accordingly, the results of the Company include the results of the subsidiaries for year ended December 31, 2025 and 2024. Such manner of presentation reflects the economic substance of the companies, which were under common control throughout the relevant period, as a single economic enterprise, although the legal parent-subsidiary relationships were not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35" w:name="xdx_86B_zdVgpxjSjxaa"/>
      <w:bookmarkStart w:id="436" w:name="xdx_84A_eus-gaap--ForeignCurrencyTransac"/>
      <w:bookmarkEnd w:id="435"/>
      <w:bookmarkEnd w:id="436"/>
      <w:r>
        <w:rPr>
          <w:rFonts w:ascii="Times New Roman;Times;Serif" w:hAnsi="Times New Roman;Times;Serif"/>
          <w:b w:val="false"/>
          <w:i w:val="false"/>
          <w:caps w:val="false"/>
          <w:smallCaps w:val="false"/>
          <w:sz w:val="20"/>
          <w:u w:val="single"/>
        </w:rPr>
        <w:t>Foreign Currency Translation and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the Singapore Dollar (“S$”), which is the reporting currency of the Company. In addition, the Company and subsidiaries are operating in Singapore, maintain their books and record in their local currency, Singapore Dollars, which is a functional currency as being the primary currency of the economic environment in which their operations are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reassessed the functional currency of the Company and subsidiaries in accordance with ASC 830 Foreign Currency Matters because of changes in the underlying economic facts and circumstances affecting those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8, 2025, the functional currency of the Company, Ten-League International Holdings Limited, and one of its subsidiaries, Ten-League Venture Capital changed from the Singapore Dollar (“S$”) to the United States dollar (“US$”), reflecting changes in the primary economic environment in which the Company and the subsidiary operates. The factors considered by management in determining the change in functional currency included:</w:t>
      </w:r>
    </w:p>
    <w:p>
      <w:pPr>
        <w:pStyle w:val="TextBody"/>
        <w:bidi w:val="0"/>
        <w:spacing w:before="0" w:after="0"/>
        <w:ind w:left="0" w:right="0" w:hanging="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currency of operating costs;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financing activities;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cash flow generation and retention.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change in functional currency prospectively from the date of change. Assets and liabilities were translated into the new functional currency using the exchange rate on the date of the change. Non-monetary assets and liabilities were translated at historical exchange rates. Translation adjustments arising prior to the change remained in accumulated other comprehensive income. The change in functional currency did not result in any adjustment to previously issued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concluded that the change in functional currency more appropriately reflects the economic substance of the subsidiary’s underlying transactions and events as of the date of change.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gains and losses that arise from exchange rate fluctuations from transactions denominated in a currency other than the functional currency are translated, as the case may be, at the rate on the date of the transaction and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the consolidated balance sheets, consolidated statements of operations and comprehensive income and consolidated statements of cash flows from S$ into US$ as of and for the year ended December 31, 2025 are solely for the convenience of the reader and were calculated at the rate of US$</w:t>
      </w:r>
      <w:bookmarkStart w:id="437" w:name="xdx_904_eus-gaap--ForeignCurrencyExchang"/>
      <w:bookmarkEnd w:id="437"/>
      <w:r>
        <w:rPr>
          <w:rFonts w:ascii="Times New Roman;Times;Serif" w:hAnsi="Times New Roman;Times;Serif"/>
          <w:b w:val="false"/>
          <w:i w:val="false"/>
          <w:caps w:val="false"/>
          <w:smallCaps w:val="false"/>
          <w:sz w:val="20"/>
        </w:rPr>
        <w:t>0.7777 = S$1, as set forth in the statistical release of the Federal Reserve System on January 6, 2026. No representation is made that the S$ amounts could have been, or could be, converted, realized or settled into US$ at that rate on December 31, 2025,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38" w:name="xdx_891_eus-gaap--ScheduleOfDifferencesB"/>
      <w:bookmarkEnd w:id="438"/>
      <w:r>
        <w:rPr>
          <w:rFonts w:ascii="Times New Roman;Times;Serif" w:hAnsi="Times New Roman;Times;Serif"/>
          <w:b w:val="false"/>
          <w:i w:val="false"/>
          <w:caps w:val="false"/>
          <w:smallCaps w:val="false"/>
          <w:sz w:val="20"/>
        </w:rPr>
        <w:t>The following table outlines the currency exchange rates that were used in creating the consolidated financial statements in this report:</w:t>
      </w:r>
    </w:p>
    <w:p>
      <w:pPr>
        <w:pStyle w:val="TextBody"/>
        <w:bidi w:val="0"/>
        <w:jc w:val="both"/>
        <w:rPr>
          <w:rFonts w:ascii="Times New Roman;Times;Serif" w:hAnsi="Times New Roman;Times;Serif"/>
          <w:b w:val="false"/>
          <w:i w:val="false"/>
          <w:caps w:val="false"/>
          <w:smallCaps w:val="false"/>
          <w:sz w:val="20"/>
        </w:rPr>
      </w:pPr>
      <w:bookmarkStart w:id="439" w:name="xdx_8BA_zLMSVKC7zaC9"/>
      <w:bookmarkEnd w:id="439"/>
      <w:r>
        <w:rPr>
          <w:rFonts w:ascii="Times New Roman;Times;Serif" w:hAnsi="Times New Roman;Times;Serif"/>
          <w:b w:val="false"/>
          <w:i w:val="false"/>
          <w:caps w:val="false"/>
          <w:smallCaps w:val="false"/>
          <w:sz w:val="20"/>
        </w:rPr>
        <w:t>SCHEDULE OF CURRENCY EXCHANGE RATES </w:t>
      </w:r>
    </w:p>
    <w:tbl>
      <w:tblPr>
        <w:tblW w:w="5400" w:type="dxa"/>
        <w:jc w:val="left"/>
        <w:tblInd w:w="0" w:type="dxa"/>
        <w:tblLayout w:type="fixed"/>
        <w:tblCellMar>
          <w:top w:w="0" w:type="dxa"/>
          <w:left w:w="0" w:type="dxa"/>
          <w:bottom w:w="0" w:type="dxa"/>
          <w:right w:w="0" w:type="dxa"/>
        </w:tblCellMar>
      </w:tblPr>
      <w:tblGrid>
        <w:gridCol w:w="1775"/>
        <w:gridCol w:w="60"/>
        <w:gridCol w:w="60"/>
        <w:gridCol w:w="1625"/>
        <w:gridCol w:w="60"/>
        <w:gridCol w:w="60"/>
        <w:gridCol w:w="60"/>
        <w:gridCol w:w="1625"/>
        <w:gridCol w:w="75"/>
      </w:tblGrid>
      <w:tr>
        <w:trPr/>
        <w:tc>
          <w:tcPr>
            <w:tcW w:w="1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0" w:name="xdx_490_20241231_z9kLbMmq81G2"/>
            <w:bookmarkEnd w:id="440"/>
          </w:p>
        </w:tc>
        <w:tc>
          <w:tcPr>
            <w:tcW w:w="1685"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94_20251231_zGwSWZ39g2Kj"/>
            <w:bookmarkEnd w:id="441"/>
          </w:p>
        </w:tc>
        <w:tc>
          <w:tcPr>
            <w:tcW w:w="1685"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 31, 2025</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442" w:name="xdx_40D_eus-gaap--ForeignCurrencyExchang"/>
            <w:bookmarkEnd w:id="442"/>
          </w:p>
        </w:tc>
      </w:tr>
      <w:tr>
        <w:trPr/>
        <w:tc>
          <w:tcPr>
            <w:tcW w:w="1775" w:type="dxa"/>
            <w:tcBorders/>
            <w:shd w:fill="CCEEFF" w:val="clear"/>
            <w:vAlign w:val="center"/>
          </w:tcPr>
          <w:p>
            <w:pPr>
              <w:pStyle w:val="TableContents"/>
              <w:bidi w:val="0"/>
              <w:spacing w:before="0" w:after="283"/>
              <w:jc w:val="both"/>
              <w:rPr/>
            </w:pPr>
            <w:r>
              <w:rPr/>
              <w:t>Year-end spot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US$1=S$1.3662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US$1=S$1.2859</w:t>
            </w:r>
          </w:p>
        </w:tc>
        <w:tc>
          <w:tcPr>
            <w:tcW w:w="75" w:type="dxa"/>
            <w:tcBorders/>
            <w:shd w:fill="CCEEFF" w:val="clear"/>
            <w:vAlign w:val="center"/>
          </w:tcPr>
          <w:p>
            <w:pPr>
              <w:pStyle w:val="TableContents"/>
              <w:bidi w:val="0"/>
              <w:spacing w:before="0" w:after="283"/>
              <w:jc w:val="left"/>
              <w:rPr/>
            </w:pPr>
            <w:r>
              <w:rPr/>
              <w:t> </w:t>
            </w:r>
            <w:bookmarkStart w:id="443" w:name="xdx_40F_eus-gaap--ForeignCurrencyExchang"/>
            <w:bookmarkEnd w:id="443"/>
          </w:p>
        </w:tc>
      </w:tr>
      <w:tr>
        <w:trPr/>
        <w:tc>
          <w:tcPr>
            <w:tcW w:w="1775" w:type="dxa"/>
            <w:tcBorders/>
            <w:shd w:fill="FFFFFF" w:val="clear"/>
            <w:vAlign w:val="center"/>
          </w:tcPr>
          <w:p>
            <w:pPr>
              <w:pStyle w:val="TableContents"/>
              <w:bidi w:val="0"/>
              <w:spacing w:before="0" w:after="283"/>
              <w:jc w:val="both"/>
              <w:rPr/>
            </w:pPr>
            <w:r>
              <w:rPr/>
              <w:t>Average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US$1=S$1.3380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US$1=S$1.3058</w:t>
            </w:r>
          </w:p>
        </w:tc>
        <w:tc>
          <w:tcPr>
            <w:tcW w:w="75" w:type="dxa"/>
            <w:tcBorders/>
            <w:shd w:fill="FFFFFF" w:val="clear"/>
            <w:vAlign w:val="center"/>
          </w:tcPr>
          <w:p>
            <w:pPr>
              <w:pStyle w:val="TableContents"/>
              <w:bidi w:val="0"/>
              <w:spacing w:before="0" w:after="283"/>
              <w:jc w:val="left"/>
              <w:rPr/>
            </w:pPr>
            <w:r>
              <w:rPr/>
              <w:t> </w:t>
            </w:r>
            <w:bookmarkStart w:id="444" w:name="xdx_40C_eus-gaap--ForeignCurrencyExchang"/>
            <w:bookmarkEnd w:id="444"/>
          </w:p>
        </w:tc>
      </w:tr>
      <w:tr>
        <w:trPr/>
        <w:tc>
          <w:tcPr>
            <w:tcW w:w="1775" w:type="dxa"/>
            <w:tcBorders/>
            <w:shd w:fill="FFFFFF" w:val="clear"/>
            <w:vAlign w:val="center"/>
          </w:tcPr>
          <w:p>
            <w:pPr>
              <w:pStyle w:val="TableContents"/>
              <w:bidi w:val="0"/>
              <w:spacing w:before="0" w:after="283"/>
              <w:jc w:val="both"/>
              <w:rPr/>
            </w:pPr>
            <w:r>
              <w:rPr/>
              <w:t>Exchange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US$1=S$1.3380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US$1=S$1.3058</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45" w:name="xdx_8AC_zQhr6vCIRBX9"/>
      <w:bookmarkEnd w:id="4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46" w:name="xdx_868_zdJV2YP7EKAc"/>
      <w:bookmarkStart w:id="447" w:name="xdx_84F_eus-gaap--CashAndCashEquivalents"/>
      <w:bookmarkEnd w:id="446"/>
      <w:bookmarkEnd w:id="447"/>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primarily of cash in readily available checking and saving accounts. Cash equivalents consist of highly liquid investments that are readily convertible to cash and that mature within three months or less from the date of purchase. The carrying amounts approximate fair value due to the short maturities of these instruments. The Company maintains most of its bank accounts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48" w:name="xdx_867_zSBsONpDDx3b"/>
      <w:bookmarkStart w:id="449" w:name="xdx_842_eus-gaap--TradeAndOtherAccountsR"/>
      <w:bookmarkEnd w:id="448"/>
      <w:bookmarkEnd w:id="449"/>
      <w:r>
        <w:rPr>
          <w:rFonts w:ascii="Times New Roman;Times;Serif" w:hAnsi="Times New Roman;Times;Serif"/>
          <w:b w:val="false"/>
          <w:i w:val="false"/>
          <w:caps w:val="false"/>
          <w:smallCaps w:val="false"/>
          <w:sz w:val="20"/>
          <w:u w:val="single"/>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include trade accounts due from customers in the sale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which are due within contractual payment terms. The normal settlement terms of accounts receivable within 30 days. The Company seeks to maintain strict control over its outstanding receivables to minimize credit risk. Overdue balances are reviewed regularly by senior management.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Account balances are charged off against the allowance after all means of collection have been exhausted and the likelihood of collection is not probable. The Company’s management continues to evaluate the reasonableness of the valuation allowance policy and update it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overs its accounts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recognized additional provision for allowance for expected credit losses of S$</w:t>
      </w:r>
      <w:bookmarkStart w:id="450" w:name="xdx_902_eus-gaap--AllowanceForDoubtfulAc"/>
      <w:bookmarkEnd w:id="450"/>
      <w:r>
        <w:rPr>
          <w:rFonts w:ascii="Times New Roman;Times;Serif" w:hAnsi="Times New Roman;Times;Serif"/>
          <w:b w:val="false"/>
          <w:i w:val="false"/>
          <w:caps w:val="false"/>
          <w:smallCaps w:val="false"/>
          <w:sz w:val="20"/>
        </w:rPr>
        <w:t>0.1 million and S$</w:t>
      </w:r>
      <w:bookmarkStart w:id="451" w:name="xdx_90D_eus-gaap--AllowanceForDoubtfulAc"/>
      <w:bookmarkEnd w:id="451"/>
      <w:r>
        <w:rPr>
          <w:rFonts w:ascii="Times New Roman;Times;Serif" w:hAnsi="Times New Roman;Times;Serif"/>
          <w:b w:val="false"/>
          <w:i w:val="false"/>
          <w:caps w:val="false"/>
          <w:smallCaps w:val="false"/>
          <w:sz w:val="20"/>
        </w:rPr>
        <w:t>1.4 million (US$</w:t>
      </w:r>
      <w:bookmarkStart w:id="452" w:name="xdx_90C_eus-gaap--AllowanceForDoubtfulAc"/>
      <w:bookmarkEnd w:id="452"/>
      <w:r>
        <w:rPr>
          <w:rFonts w:ascii="Times New Roman;Times;Serif" w:hAnsi="Times New Roman;Times;Serif"/>
          <w:b w:val="false"/>
          <w:i w:val="false"/>
          <w:caps w:val="false"/>
          <w:smallCaps w:val="false"/>
          <w:sz w:val="20"/>
        </w:rPr>
        <w:t>1.1 million) in profit or loss during the years ended of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53" w:name="xdx_864_zmX6HwBj81S4"/>
      <w:bookmarkStart w:id="454" w:name="xdx_848_ecustom--ContractAssetsPolicyTex"/>
      <w:bookmarkEnd w:id="453"/>
      <w:bookmarkEnd w:id="454"/>
      <w:r>
        <w:rPr>
          <w:rFonts w:ascii="Times New Roman;Times;Serif" w:hAnsi="Times New Roman;Times;Serif"/>
          <w:b w:val="false"/>
          <w:i w:val="false"/>
          <w:caps w:val="false"/>
          <w:smallCaps w:val="false"/>
          <w:sz w:val="20"/>
          <w:u w:val="single"/>
        </w:rPr>
        <w:t>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recognized when the Company has transferred goods or services to a customer but the right to consideration is not unconditional because additional performance or other contractual conditions must be satisfied before billing can occur. Contract assets are reclassified to accounts receivable when the right to consideration becomes unconditional. As of December 31, 2024 and 2025, no allowance was deemed necessary. Management believes that these counterparties are of high credit quality and continually monitors the credit worthiness of these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55" w:name="xdx_864_zsDUs90JcCMf"/>
      <w:bookmarkStart w:id="456" w:name="xdx_847_eus-gaap--InventoryPolicyTextBlo"/>
      <w:bookmarkEnd w:id="455"/>
      <w:bookmarkEnd w:id="456"/>
      <w:r>
        <w:rPr>
          <w:rFonts w:ascii="Times New Roman;Times;Serif" w:hAnsi="Times New Roman;Times;Serif"/>
          <w:b w:val="false"/>
          <w:i w:val="false"/>
          <w:caps w:val="false"/>
          <w:smallCaps w:val="false"/>
          <w:sz w:val="20"/>
          <w:u w:val="single"/>
        </w:rPr>
        <w:t>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valued at the lower of cost or net realizable value. Cost is determined by the average cost method. The Company records adjustments to its inventory for estimated obsolescence or diminution in net realizable value equal to the difference between the cost of the inventory and the estimated net realizable value. At the point of loss recognition, a new cost basis for that inventory is established, and subsequent changes in facts and circumstances do not result in the restoration or increase in that newly established cost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recognized a reversal of allowance for inventories obsolescence of S$</w:t>
      </w:r>
      <w:bookmarkStart w:id="457" w:name="xdx_90B_eus-gaap--InventoryWriteDown_pn5"/>
      <w:bookmarkEnd w:id="457"/>
      <w:r>
        <w:rPr>
          <w:rFonts w:ascii="Times New Roman;Times;Serif" w:hAnsi="Times New Roman;Times;Serif"/>
          <w:b w:val="false"/>
          <w:i w:val="false"/>
          <w:caps w:val="false"/>
          <w:smallCaps w:val="false"/>
          <w:sz w:val="20"/>
        </w:rPr>
        <w:t xml:space="preserve">0.1 million in profit or loss during the year ended of December 31, 2024. </w:t>
      </w:r>
      <w:bookmarkStart w:id="458" w:name="xdx_90B_eus-gaap--InventoryWriteDown_dxL"/>
      <w:bookmarkEnd w:id="458"/>
      <w:r>
        <w:rPr>
          <w:rFonts w:ascii="Times New Roman;Times;Serif" w:hAnsi="Times New Roman;Times;Serif"/>
          <w:b w:val="false"/>
          <w:i w:val="false"/>
          <w:caps w:val="false"/>
          <w:smallCaps w:val="false"/>
          <w:sz w:val="20"/>
        </w:rPr>
        <w:t>No allowance for inventories write-down or a reversal of allowance for inventories obsolescence recorded by the Company for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59" w:name="xdx_865_zkqjU1t6PjJe"/>
      <w:bookmarkStart w:id="460" w:name="xdx_842_eus-gaap--ReceivablesPolicyTextB"/>
      <w:bookmarkEnd w:id="459"/>
      <w:bookmarkEnd w:id="460"/>
      <w:r>
        <w:rPr>
          <w:rFonts w:ascii="Times New Roman;Times;Serif" w:hAnsi="Times New Roman;Times;Serif"/>
          <w:b w:val="false"/>
          <w:i w:val="false"/>
          <w:caps w:val="false"/>
          <w:smallCaps w:val="false"/>
          <w:sz w:val="20"/>
          <w:u w:val="single"/>
        </w:rPr>
        <w:t>Deposits, prepayments and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prepayments and other receivables primarily consist of finance lease receivables, Goods and services tax receivables and advance to suppliers. These amounts bear no interest. Management reviews its prepayments and refundable deposits placed with counterparties on a regular basis to determine if the allowance is adequate and adjusts the allowance when necessary. As of December 31, 2024 and 2025, no allowance was deemed necessary. Management believes that these counterparties are of high credit quality and continually monitors the credit worthiness of these counterparties.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61" w:name="xdx_860_zybzryAuD7t2"/>
      <w:bookmarkStart w:id="462" w:name="xdx_849_ecustom--FinanceLeaseReceivables"/>
      <w:bookmarkEnd w:id="461"/>
      <w:bookmarkEnd w:id="462"/>
      <w:r>
        <w:rPr>
          <w:rFonts w:ascii="Times New Roman;Times;Serif" w:hAnsi="Times New Roman;Times;Serif"/>
          <w:b w:val="false"/>
          <w:i w:val="false"/>
          <w:caps w:val="false"/>
          <w:smallCaps w:val="false"/>
          <w:sz w:val="20"/>
          <w:u w:val="single"/>
        </w:rPr>
        <w:t>Finance lease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lease arrangements in which it acts as a lessor for heavy equipment provided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 lease as a finance lease when the lease transfers substantially all of the risks and rewards incidental to ownership of the underlying asset to the lessee. In determining lease classification, the Company considers whether any of the following criteria are met at lease commencement: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transfers to the lessee at the end of the lease term;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grants the lessee an option to purchase the asset that the lessee is reasonably certain to exercise;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represents a major part of the remaining economic life of the asset;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lease payments equals or exceeds substantially all of the fair value of the asset;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asset is of such a specialized nature that it is expected to have no alternative use to the Company at the end of the lease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lease commencement, the Company recognizes a net investment in the lease, which consists of:</w:t>
      </w:r>
    </w:p>
    <w:p>
      <w:pPr>
        <w:pStyle w:val="TextBody"/>
        <w:bidi w:val="0"/>
        <w:spacing w:before="0" w:after="0"/>
        <w:ind w:left="720" w:right="0" w:hanging="36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8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lease payments receivable;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any unguaranteed residual value;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deferred initial direct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are discounted using the interest rate implicit in the lease when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63" w:name="xdx_86C_zX3OTgKcY2pd"/>
      <w:bookmarkStart w:id="464" w:name="xdx_848_ecustom--ImpairmentOfFinanceLeas"/>
      <w:bookmarkEnd w:id="463"/>
      <w:bookmarkEnd w:id="464"/>
      <w:r>
        <w:rPr>
          <w:rFonts w:ascii="Times New Roman;Times;Serif" w:hAnsi="Times New Roman;Times;Serif"/>
          <w:b w:val="false"/>
          <w:i w:val="false"/>
          <w:caps w:val="false"/>
          <w:smallCaps w:val="false"/>
          <w:sz w:val="20"/>
          <w:u w:val="single"/>
        </w:rPr>
        <w:t>Impairment of finance lease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receivables are evaluated for impairment in accordance with ASC 326 Current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expected credit losses based on:</w:t>
      </w:r>
    </w:p>
    <w:p>
      <w:pPr>
        <w:pStyle w:val="TextBody"/>
        <w:bidi w:val="0"/>
        <w:spacing w:before="0" w:after="0"/>
        <w:ind w:left="720" w:right="0" w:hanging="36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8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collection experience;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creditworthiness;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economic conditions;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and supportable forecasts.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allowance are recorded in earnings during the period in which such changes occur. As of December 31, 2024 and 2025, no allowance was deemed necessary. Management believes that these counterparties are of high credit quality and continually monitors the credit worthiness of these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65" w:name="xdx_86E_zk2USxF10Ngf"/>
      <w:bookmarkStart w:id="466" w:name="xdx_843_ecustom--DeferredIPOCostsPolicyT"/>
      <w:bookmarkEnd w:id="465"/>
      <w:bookmarkEnd w:id="466"/>
      <w:r>
        <w:rPr>
          <w:rFonts w:ascii="Times New Roman;Times;Serif" w:hAnsi="Times New Roman;Times;Serif"/>
          <w:b w:val="false"/>
          <w:i w:val="false"/>
          <w:caps w:val="false"/>
          <w:smallCaps w:val="false"/>
          <w:sz w:val="20"/>
          <w:u w:val="single"/>
        </w:rPr>
        <w:t>Deferred IPO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340-10-S99-1, Initial Public Offering (“IPO”) costs directly attributable to an offering of equity securities are deferred and would be charged against the gross proceeds of the offering as a reduction of additional paid-in capital. These costs include legal fees related to the registration drafting and counsel, consulting fees related to the registration preparation, the SEC filing and print related costs. During the financial year ended December 31 2024, the Company recorded deferred offering costs of S$</w:t>
      </w:r>
      <w:bookmarkStart w:id="467" w:name="xdx_908_eus-gaap--DeferredOfferingCosts_"/>
      <w:bookmarkEnd w:id="467"/>
      <w:r>
        <w:rPr>
          <w:rFonts w:ascii="Times New Roman;Times;Serif" w:hAnsi="Times New Roman;Times;Serif"/>
          <w:b w:val="false"/>
          <w:i w:val="false"/>
          <w:caps w:val="false"/>
          <w:smallCaps w:val="false"/>
          <w:sz w:val="20"/>
        </w:rPr>
        <w:t>1.9 million related to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68" w:name="xdx_869_z3I2PmaVUS03"/>
      <w:bookmarkStart w:id="469" w:name="xdx_840_eus-gaap--PropertyPlantAndEquipm"/>
      <w:bookmarkEnd w:id="468"/>
      <w:bookmarkEnd w:id="469"/>
      <w:r>
        <w:rPr>
          <w:rFonts w:ascii="Times New Roman;Times;Serif" w:hAnsi="Times New Roman;Times;Serif"/>
          <w:b w:val="false"/>
          <w:i w:val="false"/>
          <w:caps w:val="false"/>
          <w:smallCaps w:val="false"/>
          <w:sz w:val="20"/>
          <w:u w:val="single"/>
        </w:rPr>
        <w:t>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are stated at cost less accumulated depreciation and accumulated impairment losses, if any. Depreciation is calculated on the straight-line basis over the following expected useful lives from the date on which they become fully operational and after taking into account their estimated residual values:</w:t>
      </w:r>
    </w:p>
    <w:p>
      <w:pPr>
        <w:pStyle w:val="TextBody"/>
        <w:bidi w:val="0"/>
        <w:spacing w:before="0" w:after="0"/>
        <w:ind w:left="0" w:right="0" w:hanging="0"/>
        <w:jc w:val="both"/>
        <w:rPr>
          <w:caps w:val="false"/>
          <w:smallCaps w:val="false"/>
        </w:rPr>
      </w:pPr>
      <w:bookmarkStart w:id="470" w:name="xdx_897_ecustom--PropertyPlantAndEquipme"/>
      <w:bookmarkEnd w:id="470"/>
      <w:r>
        <w:rPr>
          <w:caps w:val="false"/>
          <w:smallCaps w:val="false"/>
        </w:rPr>
        <w:t> </w:t>
      </w:r>
      <w:bookmarkStart w:id="471" w:name="xdx_8B7_z62mLuGTbsE1"/>
      <w:bookmarkEnd w:id="471"/>
      <w:r>
        <w:rPr>
          <w:rFonts w:ascii="Times New Roman;Times;Serif" w:hAnsi="Times New Roman;Times;Serif"/>
          <w:b w:val="false"/>
          <w:i w:val="false"/>
          <w:caps w:val="false"/>
          <w:smallCaps w:val="false"/>
          <w:sz w:val="20"/>
        </w:rPr>
        <w:t>SCHEDULE OF PLANT AND EQUIPMENT ESTIMATED USEFUL LIVES</w:t>
      </w:r>
    </w:p>
    <w:tbl>
      <w:tblPr>
        <w:tblW w:w="4750" w:type="dxa"/>
        <w:jc w:val="left"/>
        <w:tblInd w:w="0" w:type="dxa"/>
        <w:tblLayout w:type="fixed"/>
        <w:tblCellMar>
          <w:top w:w="0" w:type="dxa"/>
          <w:left w:w="0" w:type="dxa"/>
          <w:bottom w:w="0" w:type="dxa"/>
          <w:right w:w="0" w:type="dxa"/>
        </w:tblCellMar>
      </w:tblPr>
      <w:tblGrid>
        <w:gridCol w:w="2240"/>
        <w:gridCol w:w="60"/>
        <w:gridCol w:w="2450"/>
      </w:tblGrid>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useful life</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2" w:name="xdx_900_eus-gaap--PropertyPlantAndEquipm"/>
            <w:bookmarkEnd w:id="472"/>
            <w:r>
              <w:rPr>
                <w:rFonts w:ascii="Times New Roman;Times;Serif" w:hAnsi="Times New Roman;Times;Serif"/>
                <w:b w:val="false"/>
                <w:i w:val="false"/>
                <w:caps w:val="false"/>
                <w:smallCaps w:val="false"/>
                <w:sz w:val="20"/>
              </w:rPr>
              <w:t>5 years</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factory premises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3" w:name="xdx_90E_eus-gaap--PropertyPlantAndEquipm"/>
            <w:bookmarkEnd w:id="473"/>
            <w:r>
              <w:rPr>
                <w:rFonts w:ascii="Times New Roman;Times;Serif" w:hAnsi="Times New Roman;Times;Serif"/>
                <w:b w:val="false"/>
                <w:i w:val="false"/>
                <w:caps w:val="false"/>
                <w:smallCaps w:val="false"/>
                <w:sz w:val="20"/>
              </w:rPr>
              <w:t>Over the remaining lease term</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4" w:name="xdx_901_eus-gaap--PropertyPlantAndEquipm"/>
            <w:bookmarkEnd w:id="474"/>
            <w:r>
              <w:rPr>
                <w:rFonts w:ascii="Times New Roman;Times;Serif" w:hAnsi="Times New Roman;Times;Serif"/>
                <w:b w:val="false"/>
                <w:i w:val="false"/>
                <w:caps w:val="false"/>
                <w:smallCaps w:val="false"/>
                <w:sz w:val="20"/>
              </w:rPr>
              <w:t>5-</w:t>
            </w:r>
            <w:bookmarkStart w:id="475" w:name="xdx_900_eus-gaap--PropertyPlantAndEquipm"/>
            <w:bookmarkEnd w:id="475"/>
            <w:r>
              <w:rPr>
                <w:rFonts w:ascii="Times New Roman;Times;Serif" w:hAnsi="Times New Roman;Times;Serif"/>
                <w:b w:val="false"/>
                <w:i w:val="false"/>
                <w:caps w:val="false"/>
                <w:smallCaps w:val="false"/>
                <w:sz w:val="20"/>
              </w:rPr>
              <w:t>10 years</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 vehicles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6" w:name="xdx_909_eus-gaap--PropertyPlantAndEquipm"/>
            <w:bookmarkEnd w:id="476"/>
            <w:r>
              <w:rPr>
                <w:rFonts w:ascii="Times New Roman;Times;Serif" w:hAnsi="Times New Roman;Times;Serif"/>
                <w:b w:val="false"/>
                <w:i w:val="false"/>
                <w:caps w:val="false"/>
                <w:smallCaps w:val="false"/>
                <w:sz w:val="20"/>
              </w:rPr>
              <w:t>5-</w:t>
            </w:r>
            <w:bookmarkStart w:id="477" w:name="xdx_90C_eus-gaap--PropertyPlantAndEquipm"/>
            <w:bookmarkEnd w:id="477"/>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hanging="0"/>
        <w:jc w:val="both"/>
        <w:rPr>
          <w:caps w:val="false"/>
          <w:smallCaps w:val="false"/>
        </w:rPr>
      </w:pPr>
      <w:bookmarkStart w:id="478" w:name="xdx_8A3_zkWLkZaHGw0d"/>
      <w:bookmarkEnd w:id="4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for repairs and maintenance is expensed as incurred. When assets have retired or sold, the cost and related accumulated depreciation are removed from the accounts and any resulting gain or loss is recognized in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79" w:name="xdx_86F_zazAl2BhsFN6"/>
      <w:bookmarkStart w:id="480" w:name="xdx_845_eus-gaap--ImpairmentOrDisposalOf"/>
      <w:bookmarkEnd w:id="479"/>
      <w:bookmarkEnd w:id="480"/>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81" w:name="xdx_86F_zT0lN5aWj4b1"/>
      <w:bookmarkStart w:id="482" w:name="xdx_842_eus-gaap--RevenueRecognitionPoli"/>
      <w:bookmarkEnd w:id="481"/>
      <w:bookmarkEnd w:id="482"/>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certain portion of its non-interest income from contracts with customers, which are accounted for in accordance with Accounting Standards Update (“ASU”) No. 2014-09, </w:t>
      </w:r>
      <w:r>
        <w:rPr>
          <w:rFonts w:ascii="Times New Roman;Times;Serif" w:hAnsi="Times New Roman;Times;Serif"/>
          <w:b w:val="false"/>
          <w:i/>
          <w:caps w:val="false"/>
          <w:smallCaps w:val="false"/>
          <w:sz w:val="20"/>
        </w:rPr>
        <w:t>Revenue from Contracts with Customers (Topic 606)</w:t>
      </w:r>
      <w:r>
        <w:rPr>
          <w:rFonts w:ascii="Times New Roman;Times;Serif" w:hAnsi="Times New Roman;Times;Serif"/>
          <w:b w:val="false"/>
          <w:i w:val="false"/>
          <w:caps w:val="false"/>
          <w:smallCaps w:val="false"/>
          <w:sz w:val="20"/>
        </w:rPr>
        <w:t xml:space="preserve">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606-10 provided the following overview of how revenue is recognized from the Company’s contracts with customers: The Company recognizes revenue on a gross basis to depict the transfer of promised goods or services to customers in an amount that reflects the consideration to which the Company expects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8"/>
        <w:gridCol w:w="970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w:t>
            </w:r>
          </w:p>
        </w:tc>
        <w:tc>
          <w:tcPr>
            <w:tcW w:w="9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contract(s) with a customer.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 2: </w:t>
            </w:r>
          </w:p>
        </w:tc>
        <w:tc>
          <w:tcPr>
            <w:tcW w:w="9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 3: </w:t>
            </w:r>
          </w:p>
        </w:tc>
        <w:tc>
          <w:tcPr>
            <w:tcW w:w="9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 The transaction price is the amount of consideration in a contract to which an entity expects to be entitled in exchange for transferring promised goods or services to a customer.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 4: </w:t>
            </w:r>
          </w:p>
        </w:tc>
        <w:tc>
          <w:tcPr>
            <w:tcW w:w="9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 Any entity typically allocates the transaction price to each performance obligation on the basis of the relative standalone selling prices of each distinct good or service promised in the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 5: </w:t>
            </w:r>
          </w:p>
        </w:tc>
        <w:tc>
          <w:tcPr>
            <w:tcW w:w="9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entity satisfies a performance obligation – An entity recognizes revenue when (or as) it satisfies a performance obligation by transferring a promised good or service to a customer (which is when the customer obtains control of that good or service). The amount of revenue recognized is the amount allocated to the satisfied performance obligation. A performance obligation may be satisfied at a point in time (typically for promises to transfer goods to a customer) or over time (typically for promises to transfer service to a customer).</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from the following main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from goods sold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Company’s income is derived from contracts with customers in the sale of products, and as such, the revenue recognized depicts the transfer of promised goods to its customers in an amount that reflects the consideration to which the entity expects to be entitled in exchange for those goods. The Company considers the terms of the contract and all relevant facts and circumstances when applying this guidance. The Company’s revenue recognition policies are in compliance with ASC 606,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consist of a single performance obligation that the Company satisfies at a point in time. The Company recognizes product revenue when the following events have occurred: (a) the Company has transferred physical possession of the products, depending upon the method of distribution and shipping terms set forth in the customer contract, (b) the Company has a present right to payment, (c) the customer has legal title to the products, and (d) the customer bears significant risks and rewards of ownership of the products. Based on the Company’s historical practices and shipping terms specified in the sales agreements and invoices, these criteria are generally met when the products are:</w:t>
      </w:r>
    </w:p>
    <w:p>
      <w:pPr>
        <w:pStyle w:val="TextBody"/>
        <w:bidi w:val="0"/>
        <w:spacing w:before="0" w:after="0"/>
        <w:ind w:left="0" w:right="0" w:hanging="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95"/>
        <w:gridCol w:w="9410"/>
      </w:tblGrid>
      <w:tr>
        <w:trPr/>
        <w:tc>
          <w:tcPr>
            <w:tcW w:w="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invoiced; and</w:t>
            </w:r>
          </w:p>
        </w:tc>
      </w:tr>
      <w:tr>
        <w:trPr/>
        <w:tc>
          <w:tcPr>
            <w:tcW w:w="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Shipped from the company’s facilities or warehouse (“ex - works”, which is the Company’s standard shipping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revenues on product sales, net of Good &amp; Service Taxes (“GST”) when the title and risk of loss of products are fully transferred to the customers. The Company is subject to GST which is levied on the majority of the products at the rate of 9% on the invoiced value of sales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received as prepayment on future products are recorded as customer deposit and recognized as income when the product is shipped.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engineering consultancy services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contracts where control transfers only upon completion of the service, revenue is recognized at the point in time when:</w:t>
      </w:r>
    </w:p>
    <w:p>
      <w:pPr>
        <w:pStyle w:val="TextBody"/>
        <w:bidi w:val="0"/>
        <w:spacing w:before="0" w:after="0"/>
        <w:ind w:left="0" w:right="0" w:hanging="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8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 has been completed;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customer has accepted the service, where applicable;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present right to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equipment 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is recognised on a time-proportion basis over time taking into account the effective yield on the assets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u w:val="single"/>
        </w:rPr>
      </w:pPr>
      <w:bookmarkStart w:id="483" w:name="xdx_86B_zMyi8OiRTRx8"/>
      <w:bookmarkStart w:id="484" w:name="xdx_846_ecustom--CostOfRevenuePolicyText"/>
      <w:bookmarkEnd w:id="483"/>
      <w:bookmarkEnd w:id="484"/>
      <w:r>
        <w:rPr>
          <w:rFonts w:ascii="Times New Roman;Times;Serif" w:hAnsi="Times New Roman;Times;Serif"/>
          <w:b w:val="false"/>
          <w:i w:val="false"/>
          <w:caps w:val="false"/>
          <w:smallCaps w:val="false"/>
          <w:sz w:val="20"/>
          <w:u w:val="single"/>
        </w:rPr>
        <w:t>Cost of 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primarily consists of procurement costs of heavy equipment, batteries and parts, depreciation of plant and equipment and accessories, subcontract costs, rental of equipment and workshop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85" w:name="xdx_863_zV74a1MTrWlc"/>
      <w:bookmarkStart w:id="486" w:name="xdx_848_ecustom--SalesAndMarketingPolicy"/>
      <w:bookmarkEnd w:id="485"/>
      <w:bookmarkEnd w:id="486"/>
      <w:r>
        <w:rPr>
          <w:rFonts w:ascii="Times New Roman;Times;Serif" w:hAnsi="Times New Roman;Times;Serif"/>
          <w:b w:val="false"/>
          <w:i w:val="false"/>
          <w:caps w:val="false"/>
          <w:smallCaps w:val="false"/>
          <w:sz w:val="20"/>
          <w:u w:val="single"/>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payroll, employee benefits and other headcount-related expenses associated with sales and marketing personnel, and the costs of advertising, promotions, seminars, and other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87" w:name="xdx_86D_zS79UTbL7l66"/>
      <w:bookmarkStart w:id="488" w:name="xdx_843_eus-gaap--GovernmentAssistancePo"/>
      <w:bookmarkEnd w:id="487"/>
      <w:bookmarkEnd w:id="488"/>
      <w:r>
        <w:rPr>
          <w:rFonts w:ascii="Times New Roman;Times;Serif" w:hAnsi="Times New Roman;Times;Serif"/>
          <w:b w:val="false"/>
          <w:i w:val="false"/>
          <w:caps w:val="false"/>
          <w:smallCaps w:val="false"/>
          <w:sz w:val="20"/>
          <w:u w:val="single"/>
        </w:rPr>
        <w:t>Government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 grant or subsidy is not recognized until there is reasonable assurance that: (a) the enterprise will comply with the conditions attached to the grant; and (b) the grant will be received. When the Company receives government grant or subsidies but the conditions attached to the grants have not been fulfilled, such government subsidies are deferred and recorded under other payables and accrued expenses, and other long-term liability. The classification of short-term or long-term liabilities is dependent on the management’s expectation of when the conditions attached to the grant can be fulfilled. For the year ended December 31, 2025, and 2024, the Company received government subsidies of approximately S$</w:t>
      </w:r>
      <w:bookmarkStart w:id="489" w:name="xdx_907_ecustom--GovernmentGrant_c202501"/>
      <w:bookmarkEnd w:id="489"/>
      <w:r>
        <w:rPr>
          <w:rFonts w:ascii="Times New Roman;Times;Serif" w:hAnsi="Times New Roman;Times;Serif"/>
          <w:b w:val="false"/>
          <w:i w:val="false"/>
          <w:caps w:val="false"/>
          <w:smallCaps w:val="false"/>
          <w:sz w:val="20"/>
        </w:rPr>
        <w:t>8,000 and S$</w:t>
      </w:r>
      <w:bookmarkStart w:id="490" w:name="xdx_907_ecustom--GovernmentGrant_c202401"/>
      <w:bookmarkEnd w:id="490"/>
      <w:r>
        <w:rPr>
          <w:rFonts w:ascii="Times New Roman;Times;Serif" w:hAnsi="Times New Roman;Times;Serif"/>
          <w:b w:val="false"/>
          <w:i w:val="false"/>
          <w:caps w:val="false"/>
          <w:smallCaps w:val="false"/>
          <w:sz w:val="20"/>
        </w:rPr>
        <w:t>139,000 respectively, which are recognized as government grant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any sales where the Company is acting as an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91" w:name="xdx_86E_z6mPx3hUZUnl"/>
      <w:bookmarkStart w:id="492" w:name="xdx_84F_eus-gaap--IncomeTaxPolicyTextBlo"/>
      <w:bookmarkEnd w:id="491"/>
      <w:bookmarkEnd w:id="492"/>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determined in accordance with the provisions of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the Company did not have any interest and penalties associated with tax positions. As of December 31, 2025 and 2024, the Company did not have any significant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 in local and foreign jurisdiction. As a result of its business activities, the Company files tax returns that are subject to examination by the relevant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93" w:name="xdx_86A_z8WuwA0iL2c4"/>
      <w:bookmarkStart w:id="494" w:name="xdx_849_eus-gaap--LesseeLeasesPolicyText"/>
      <w:bookmarkEnd w:id="493"/>
      <w:bookmarkEnd w:id="494"/>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from January 1, 2020, the Company adopted the guidance of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which requires an entity to recognize a right-of-use asset and a lease liability for virtually all leases. On February 25, 2016, the FASB issued Accounting Standards Update No. 2016-02, Leases (Topic 842), to increase transparency and comparability among organizations by recognizing lease assets and lease liabilities on the balance sheet and disclosing key information about leasing transactions. ASC 842 requires that lessees recognize right-of-use assets and lease liabilities calculated based on the present value of lease payments for all lease agreements with terms that are greater than twelve months. It requires for leases longer than one year, a lessee to recognize in the statement of financial condition a right-of-use asset, representing the right to use the underlying asset for the lease term, and a lease liability, representing the liability to make lease payments. ASC 842 distinguishes leases as either a finance lease or an operating lease that affects how the leases are measured and presented in the statement of operations and statement of cash flows. ASC 842 supersedes nearly all existing lease accounting guidance under GAAP issued by the Financial Accounting Standards Board (“FASB”) including ASC Topic 840,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update also requires that for finance leases, a lessee recognize interest expense on the lease liability, separately from the amortization of the right-of-use asset in the statements of earnings, while for operating leases, such amounts should be recognized as a combined expense. In addition, this accounting update requires expanded disclosures about the nature and terms of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95" w:name="xdx_861_zT6uWtrFOQlk"/>
      <w:bookmarkStart w:id="496" w:name="xdx_84D_eus-gaap--PensionAndOtherPostret"/>
      <w:bookmarkEnd w:id="495"/>
      <w:bookmarkEnd w:id="496"/>
      <w:r>
        <w:rPr>
          <w:rFonts w:ascii="Times New Roman;Times;Serif" w:hAnsi="Times New Roman;Times;Serif"/>
          <w:b w:val="false"/>
          <w:i w:val="false"/>
          <w:caps w:val="false"/>
          <w:smallCaps w:val="false"/>
          <w:sz w:val="20"/>
          <w:u w:val="single"/>
        </w:rPr>
        <w:t>Retirement Plan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Contributions to retirement plans (which are defined contribution plans) are charged to general and administrative expenses in the accompanying statements of operation as the related employee service are provided. The Company is required to make contribution to their employees under a government-mandated multi-employer defined contribution pension scheme for its eligible full-times employees in Singapore. The Company is required to contribute a specified percentage of the participants’ relevant income based on their ages and wages level. During the year ended December 31, 2025 and 2024, contributions of approximately S$</w:t>
      </w:r>
      <w:bookmarkStart w:id="497" w:name="xdx_90F_eus-gaap--DefinedContributionPla"/>
      <w:bookmarkEnd w:id="497"/>
      <w:r>
        <w:rPr>
          <w:rFonts w:ascii="Times New Roman;Times;Serif" w:hAnsi="Times New Roman;Times;Serif"/>
          <w:b w:val="false"/>
          <w:i w:val="false"/>
          <w:caps w:val="false"/>
          <w:smallCaps w:val="false"/>
          <w:sz w:val="20"/>
        </w:rPr>
        <w:t>0.3 and S$</w:t>
      </w:r>
      <w:bookmarkStart w:id="498" w:name="xdx_90A_eus-gaap--DefinedContributionPla"/>
      <w:bookmarkEnd w:id="498"/>
      <w:r>
        <w:rPr>
          <w:rFonts w:ascii="Times New Roman;Times;Serif" w:hAnsi="Times New Roman;Times;Serif"/>
          <w:b w:val="false"/>
          <w:i w:val="false"/>
          <w:caps w:val="false"/>
          <w:smallCaps w:val="false"/>
          <w:sz w:val="20"/>
        </w:rPr>
        <w:t>0.2 million for each respective period were made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99" w:name="xdx_86F_z0Z0dW0m71Z5"/>
      <w:bookmarkStart w:id="500" w:name="xdx_845_eus-gaap--SegmentReportingPolicy"/>
      <w:bookmarkEnd w:id="499"/>
      <w:bookmarkEnd w:id="500"/>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280, “Segment Reporting”, establishes standards for reporting information about operating segments on a basis consistent with the Company’s internal organizational structure as well as information about geographical areas, business segments and major clients in financial statements for detailing the Company’s business segments. Based on the criteria established by ASC 280, the Company’s chief operating decision maker (“CODM”) has been identified as the Chief Executive Officer, who reviews consolidated results when making decisions about allocating resources and assessing performance of the Company. As a whole and hence, the Company has only </w:t>
      </w:r>
      <w:bookmarkStart w:id="501" w:name="xdx_907_eus-gaap--NumberOfReportableSegm"/>
      <w:bookmarkEnd w:id="501"/>
      <w:r>
        <w:rPr>
          <w:rFonts w:ascii="Times New Roman;Times;Serif" w:hAnsi="Times New Roman;Times;Serif"/>
          <w:b w:val="false"/>
          <w:i w:val="false"/>
          <w:caps w:val="false"/>
          <w:smallCaps w:val="false"/>
          <w:sz w:val="20"/>
        </w:rPr>
        <w:t>three reportable segments. The Company does not distinguish between markets or segments for the purpose of internal reporting. As the Company’s long-lived assets are substantially located in Singapore,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02" w:name="xdx_86C_ztUTqqC0PCZa"/>
      <w:bookmarkStart w:id="503" w:name="xdx_84F_ecustom--RelatedPartiesPolicyTex"/>
      <w:bookmarkEnd w:id="502"/>
      <w:bookmarkEnd w:id="503"/>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ASC 850-10, </w:t>
      </w:r>
      <w:r>
        <w:rPr>
          <w:rFonts w:ascii="Times New Roman;Times;Serif" w:hAnsi="Times New Roman;Times;Serif"/>
          <w:b w:val="false"/>
          <w:i/>
          <w:caps w:val="false"/>
          <w:smallCaps w:val="false"/>
          <w:sz w:val="20"/>
        </w:rPr>
        <w:t>Related Party</w:t>
      </w:r>
      <w:r>
        <w:rPr>
          <w:rFonts w:ascii="Times New Roman;Times;Serif" w:hAnsi="Times New Roman;Times;Serif"/>
          <w:b w:val="false"/>
          <w:i w:val="false"/>
          <w:caps w:val="false"/>
          <w:smallCaps w:val="false"/>
          <w:sz w:val="20"/>
        </w:rPr>
        <w:t xml:space="preserve"> for the identification of related parties and disclosure of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850-10-20 the related parties include: a) affiliates of the Company;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Income-sharing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04" w:name="xdx_867_zQiFqr4QtyCg"/>
      <w:bookmarkStart w:id="505" w:name="xdx_847_eus-gaap--CommitmentsAndContinge"/>
      <w:bookmarkEnd w:id="504"/>
      <w:bookmarkEnd w:id="505"/>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506" w:name="xdx_86E_zSmFutJlJPhb"/>
      <w:bookmarkStart w:id="507" w:name="xdx_84C_eus-gaap--EarningsPerSharePolicy"/>
      <w:bookmarkEnd w:id="506"/>
      <w:bookmarkEnd w:id="507"/>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“Earnings per Share”. ASC 260 requires companies to present basic and diluted EPS. Basic EPS is measured as net income divided by the weighted average number of ordinary shares outstanding for the period. Diluted EPS presents the diluted effect on a per share basis of the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December 31, 2023, 2024 and 2025, there were no dilutive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08" w:name="xdx_862_zhoGu28pfTx9"/>
      <w:bookmarkStart w:id="509" w:name="xdx_84B_eus-gaap--ConcentrationRiskCredi"/>
      <w:bookmarkEnd w:id="508"/>
      <w:bookmarkEnd w:id="509"/>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and accounts receivable. Cash equivalents are maintained with high credit quality institutions, the composition and maturities of which are regularly monitored by management. As of December 31, 2025 and 2024, bank and cash balances of approximately S$</w:t>
      </w:r>
      <w:bookmarkStart w:id="510" w:name="xdx_902_eus-gaap--Cash_iI_pn5n6_c2025123"/>
      <w:bookmarkEnd w:id="510"/>
      <w:r>
        <w:rPr>
          <w:rFonts w:ascii="Times New Roman;Times;Serif" w:hAnsi="Times New Roman;Times;Serif"/>
          <w:b w:val="false"/>
          <w:i w:val="false"/>
          <w:caps w:val="false"/>
          <w:smallCaps w:val="false"/>
          <w:sz w:val="20"/>
        </w:rPr>
        <w:t>10.7 million and S$</w:t>
      </w:r>
      <w:bookmarkStart w:id="511" w:name="xdx_909_eus-gaap--Cash_iI_pn5n6_c2024123"/>
      <w:bookmarkEnd w:id="511"/>
      <w:r>
        <w:rPr>
          <w:rFonts w:ascii="Times New Roman;Times;Serif" w:hAnsi="Times New Roman;Times;Serif"/>
          <w:b w:val="false"/>
          <w:i w:val="false"/>
          <w:caps w:val="false"/>
          <w:smallCaps w:val="false"/>
          <w:sz w:val="20"/>
        </w:rPr>
        <w:t>0.7 million was maintained at financial institutions in Singapore, of which approximately S$</w:t>
      </w:r>
      <w:bookmarkStart w:id="512" w:name="xdx_904_eus-gaap--CashUninsuredAmount_iI"/>
      <w:bookmarkEnd w:id="512"/>
      <w:r>
        <w:rPr>
          <w:rFonts w:ascii="Times New Roman;Times;Serif" w:hAnsi="Times New Roman;Times;Serif"/>
          <w:b w:val="false"/>
          <w:i w:val="false"/>
          <w:caps w:val="false"/>
          <w:smallCaps w:val="false"/>
          <w:sz w:val="20"/>
        </w:rPr>
        <w:t>8.5 million and S$</w:t>
      </w:r>
      <w:bookmarkStart w:id="513" w:name="xdx_901_eus-gaap--CashUninsuredAmount_iI"/>
      <w:bookmarkEnd w:id="513"/>
      <w:r>
        <w:rPr>
          <w:rFonts w:ascii="Times New Roman;Times;Serif" w:hAnsi="Times New Roman;Times;Serif"/>
          <w:b w:val="false"/>
          <w:i w:val="false"/>
          <w:caps w:val="false"/>
          <w:smallCaps w:val="false"/>
          <w:sz w:val="20"/>
        </w:rPr>
        <w:t>0.2 million respectively was subject to credit risk. While management believes that these financial institutions are of high credit quality, it also continually monitors their credit worthiness.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accounts receivable, the Company determines, on a continuing basis, the allowance for credit loss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14" w:name="xdx_862_zYNCmJk2BiQb"/>
      <w:bookmarkStart w:id="515" w:name="xdx_847_ecustom--LiquidityRiskPolicyText"/>
      <w:bookmarkEnd w:id="514"/>
      <w:bookmarkEnd w:id="515"/>
      <w:r>
        <w:rPr>
          <w:rFonts w:ascii="Times New Roman;Times;Serif" w:hAnsi="Times New Roman;Times;Serif"/>
          <w:b w:val="false"/>
          <w:i w:val="false"/>
          <w:caps w:val="false"/>
          <w:smallCaps w:val="false"/>
          <w:sz w:val="20"/>
          <w:u w:val="single"/>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ensures that it has sufficient cash and bank balances, and liquid assets to meet its expected operational expenses, including servicing for financial obligations and bank borrowings.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516" w:name="xdx_86B_zdkU8XtkBYsk"/>
      <w:bookmarkStart w:id="517" w:name="xdx_84B_eus-gaap--FairValueMeasurementPo"/>
      <w:bookmarkEnd w:id="516"/>
      <w:bookmarkEnd w:id="517"/>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of the ASC Topic 820-10, </w:t>
      </w:r>
      <w:r>
        <w:rPr>
          <w:rFonts w:ascii="Times New Roman;Times;Serif" w:hAnsi="Times New Roman;Times;Serif"/>
          <w:b w:val="false"/>
          <w:i/>
          <w:caps w:val="false"/>
          <w:smallCaps w:val="false"/>
          <w:sz w:val="20"/>
        </w:rPr>
        <w:t>Fair Value Measurement and Disclosure</w:t>
      </w:r>
      <w:r>
        <w:rPr>
          <w:rFonts w:ascii="Times New Roman;Times;Serif" w:hAnsi="Times New Roman;Times;Serif"/>
          <w:b w:val="false"/>
          <w:i w:val="false"/>
          <w:caps w:val="false"/>
          <w:smallCaps w:val="false"/>
          <w:sz w:val="20"/>
        </w:rPr>
        <w:t xml:space="preserve"> (“ASC 820-10”), with respect to financial assets and liabilities that are measured at fair value. ASC 820-10 establishes a three-tier fair value hierarchy that prioritizes the inputs used in measuring fair value as follows: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 xml:space="preserve"> : Inputs are based upon unadjusted quoted prices for identical instruments traded in active markets;</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 :</w:t>
            </w:r>
            <w:r>
              <w:rPr>
                <w:rFonts w:ascii="Times New Roman;Times;Serif" w:hAnsi="Times New Roman;Times;Serif"/>
                <w:b w:val="false"/>
                <w:i w:val="false"/>
                <w:caps w:val="false"/>
                <w:smallCaps w:val="false"/>
                <w:sz w:val="20"/>
              </w:rPr>
              <w:t xml:space="preserve"> Inputs are based upon quoted prices for similar instruments in active markets, quoted prices for identical or similar instruments in markets that are not active, and model-based valuation techniques (e.g. Black-Scholes Option-Pricing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Company’s financial instruments: cash and cash equivalents, restricted cash, accounts receivable, loans receivable, deposits and other receivables, amount due to a related parties, accounts payable and accrued liabilities, amount due to a related parties, other payables and accrued liabilities, bank borrowings and lease liabilities approximate at their fair values because of the short-term nature of these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estimates are made at a specific point in time based on relevant market information about the financial instrument.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18" w:name="xdx_86A_z0wdWxnkB0xe"/>
      <w:bookmarkStart w:id="519" w:name="xdx_841_eus-gaap--NewAccountingPronounce"/>
      <w:bookmarkEnd w:id="518"/>
      <w:bookmarkEnd w:id="519"/>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Improvements to Reportable Segment Disclosures (“ASU 2023-07”), which focuses on improving reportable segment disclosure requirements, primarily through enhanced disclosures about significant segment expenses. A public entity shall disclose for each reportable segment the significant expense categories and amounts that are regularly provided to the CODM and included in reported segment profit or loss. ASU 2023-07 also requires entities to provide in interim periods all disclosure about a reportable segment’s profit or loss and assets that are currently required annually.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ASU 2023-07 is applied retrospectively to all periods presented in financial statements, unless it is impracticable. The company adopted ASU 2023-07 on January 1, 2025, expansion of segment disclosure is presented in Note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2024-09, Income Taxes (Topic 740): Improvements to Income Tax Disclosures. Under this ASU, public entities must annually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This ASU’s amendments are effective for all entities that are subject to Topic 740. The company adopted ASU2024-09 on January 1, 2025 in Note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the FASB issued ASU No. 2024-03, Expense Disaggregation Disclosures (“ASU 2024-03”). ASU 2024-03 amends ASC 220, Comprehensive Income to expand income statement expense disclosures and require disclosure in the notes to the financial statements of specified information about certain costs and expenses. ASU 2024-03 is required to be adopted for fiscal years commencing after December 15, 2026, with early adoption permitted. The Company is currently evaluating the impact of adopting the standard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 - Debt with Conversion and Other Options (Subtopic 470-20): Induced Conversions of Convertible Debt Instruments,” which clarifies the requirements for determining whether certain settlements of convertible debt instruments should be accounted for as an induced conversion. The amendments also clarify some specific applications of induced conversion guidance and that the guidance applies to a convertible debt instrument that is not currently convertible as long as it had a substantive conversion feature as of both its issuance date and the date the inducement offer is accepted. The new guidance is required to be applied either prospectively or retrospectively. This guidance is effective for the Company for the year ending March 31, 2027. Early adoption is permitted. The Company is evaluating the impact of the adoption of this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annual reporting years. If the practical expedient is elected, the amendments should be applied prospectively. Early adoption is permitted. The Company does not expect that the adoption of this standard will have a material impact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pStyle w:val="TextBody"/>
        <w:bidi w:val="0"/>
        <w:spacing w:before="0" w:after="0"/>
        <w:ind w:left="0" w:right="0" w:hanging="0"/>
        <w:jc w:val="both"/>
        <w:rPr>
          <w:caps w:val="false"/>
          <w:smallCaps w:val="false"/>
        </w:rPr>
      </w:pPr>
      <w:bookmarkStart w:id="520" w:name="xdx_855_zc4WIBgizFmj"/>
      <w:bookmarkEnd w:id="5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21" w:name="xdx_801_eus-gaap--RevenueFromContractWit"/>
      <w:bookmarkEnd w:id="521"/>
      <w:r>
        <w:rPr>
          <w:rFonts w:ascii="Times New Roman;Times;Serif" w:hAnsi="Times New Roman;Times;Serif"/>
          <w:b/>
          <w:i w:val="false"/>
          <w:caps w:val="false"/>
          <w:smallCaps w:val="false"/>
          <w:sz w:val="20"/>
        </w:rPr>
        <w:t xml:space="preserve">NOTE </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3 </w:t>
      </w:r>
      <w:bookmarkStart w:id="522" w:name="xdx_828_z7yU5uqnNyy6"/>
      <w:bookmarkEnd w:id="522"/>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3" w:name="xdx_89A_eus-gaap--DisaggregationOfRevenu"/>
      <w:bookmarkEnd w:id="523"/>
      <w:r>
        <w:rPr>
          <w:rFonts w:ascii="Times New Roman;Times;Serif" w:hAnsi="Times New Roman;Times;Serif"/>
          <w:b w:val="false"/>
          <w:i w:val="false"/>
          <w:caps w:val="false"/>
          <w:smallCaps w:val="false"/>
          <w:sz w:val="20"/>
        </w:rPr>
        <w:t>The following tables present the Company’s revenue disaggregated by business segment and geography, based on management’s assessment of available data:</w:t>
      </w:r>
    </w:p>
    <w:p>
      <w:pPr>
        <w:pStyle w:val="TextBody"/>
        <w:bidi w:val="0"/>
        <w:ind w:left="0" w:right="0" w:hanging="0"/>
        <w:jc w:val="left"/>
        <w:rPr>
          <w:caps w:val="false"/>
          <w:smallCaps w:val="false"/>
        </w:rPr>
      </w:pPr>
      <w:r>
        <w:rPr>
          <w:caps w:val="false"/>
          <w:smallCaps w:val="false"/>
        </w:rPr>
        <w:t> </w:t>
      </w:r>
      <w:bookmarkStart w:id="524" w:name="xdx_8B8_zJuaYQ4cX3u9"/>
      <w:bookmarkEnd w:id="524"/>
      <w:r>
        <w:rPr>
          <w:rFonts w:ascii="Times New Roman;Times;Serif" w:hAnsi="Times New Roman;Times;Serif"/>
          <w:b w:val="false"/>
          <w:i w:val="false"/>
          <w:caps w:val="false"/>
          <w:smallCaps w:val="false"/>
          <w:sz w:val="20"/>
        </w:rPr>
        <w:t xml:space="preserve">SCHEDULE OF DISAGGREGATION OF REVENUE BY BUSINESS SEGMENT </w:t>
      </w:r>
    </w:p>
    <w:tbl>
      <w:tblPr>
        <w:tblW w:w="6215" w:type="dxa"/>
        <w:jc w:val="left"/>
        <w:tblInd w:w="0" w:type="dxa"/>
        <w:tblLayout w:type="fixed"/>
        <w:tblCellMar>
          <w:top w:w="0" w:type="dxa"/>
          <w:left w:w="0" w:type="dxa"/>
          <w:bottom w:w="0" w:type="dxa"/>
          <w:right w:w="0" w:type="dxa"/>
        </w:tblCellMar>
      </w:tblPr>
      <w:tblGrid>
        <w:gridCol w:w="3770"/>
        <w:gridCol w:w="60"/>
        <w:gridCol w:w="60"/>
        <w:gridCol w:w="680"/>
        <w:gridCol w:w="60"/>
        <w:gridCol w:w="60"/>
        <w:gridCol w:w="60"/>
        <w:gridCol w:w="605"/>
        <w:gridCol w:w="60"/>
        <w:gridCol w:w="60"/>
        <w:gridCol w:w="60"/>
        <w:gridCol w:w="605"/>
        <w:gridCol w:w="75"/>
      </w:tblGrid>
      <w:tr>
        <w:trPr/>
        <w:tc>
          <w:tcPr>
            <w:tcW w:w="3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bookmarkStart w:id="525" w:name="xdx_496_20230101__20231231_zmUwagrh1Oj7"/>
            <w:bookmarkEnd w:id="525"/>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6" w:name="xdx_49A_20240101__20241231_zfm67vafJQag"/>
            <w:bookmarkEnd w:id="526"/>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bookmarkStart w:id="527" w:name="xdx_49F_20250101__20251231_zEpOO62bvcnl"/>
            <w:bookmarkEnd w:id="527"/>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10"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at a single 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8" w:name="xdx_40A_eus-gaap--RevenueFromContractWit"/>
            <w:bookmarkEnd w:id="528"/>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pPr>
            <w:r>
              <w:rPr/>
              <w:t>56,449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9" w:name="xdx_407_eus-gaap--RevenueFromContractWit"/>
            <w:bookmarkEnd w:id="529"/>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0" w:name="xdx_404_eus-gaap--RevenueFromContractWit"/>
            <w:bookmarkEnd w:id="530"/>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pPr>
            <w:r>
              <w:rPr/>
              <w:t>63,481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over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1" w:name="xdx_403_eus-gaap--RevenueFromContractWit"/>
            <w:bookmarkEnd w:id="531"/>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2" w:name="xdx_40D_eus-gaap--RevenueFromContractWit"/>
            <w:bookmarkEnd w:id="532"/>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72,782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33" w:name="xdx_8A9_ziJV178JiU4j"/>
      <w:bookmarkEnd w:id="533"/>
      <w:r>
        <w:rPr>
          <w:caps w:val="false"/>
          <w:smallCaps w:val="false"/>
        </w:rPr>
        <w:t> </w:t>
      </w:r>
    </w:p>
    <w:p>
      <w:pPr>
        <w:pStyle w:val="TextBody"/>
        <w:bidi w:val="0"/>
        <w:spacing w:before="0" w:after="0"/>
        <w:ind w:left="0" w:right="0" w:hanging="0"/>
        <w:jc w:val="both"/>
        <w:rPr>
          <w:caps w:val="false"/>
          <w:smallCaps w:val="false"/>
        </w:rPr>
      </w:pPr>
      <w:bookmarkStart w:id="534" w:name="xdx_80D_eus-gaap--AccountsAndNontradeRec"/>
      <w:bookmarkEnd w:id="534"/>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4 </w:t>
      </w:r>
      <w:bookmarkStart w:id="535" w:name="xdx_828_ziq5KixiHLh7"/>
      <w:bookmarkEnd w:id="535"/>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6" w:name="xdx_89A_eus-gaap--ScheduleOfAccountsNote"/>
      <w:bookmarkEnd w:id="536"/>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both"/>
        <w:rPr>
          <w:caps w:val="false"/>
          <w:smallCaps w:val="false"/>
        </w:rPr>
      </w:pPr>
      <w:r>
        <w:rPr>
          <w:caps w:val="false"/>
          <w:smallCaps w:val="false"/>
        </w:rPr>
        <w:t> </w:t>
      </w:r>
      <w:bookmarkStart w:id="537" w:name="xdx_8BE_zXV5Rx9nXXk8"/>
      <w:bookmarkEnd w:id="537"/>
      <w:r>
        <w:rPr>
          <w:rFonts w:ascii="Times New Roman;Times;Serif" w:hAnsi="Times New Roman;Times;Serif"/>
          <w:b w:val="false"/>
          <w:i w:val="false"/>
          <w:caps w:val="false"/>
          <w:smallCaps w:val="false"/>
          <w:sz w:val="20"/>
        </w:rPr>
        <w:t>SCHEDULE OF ACCOUNTS RECEIVABLE, NET</w:t>
      </w:r>
    </w:p>
    <w:tbl>
      <w:tblPr>
        <w:tblW w:w="5003" w:type="dxa"/>
        <w:jc w:val="left"/>
        <w:tblInd w:w="0" w:type="dxa"/>
        <w:tblLayout w:type="fixed"/>
        <w:tblCellMar>
          <w:top w:w="0" w:type="dxa"/>
          <w:left w:w="0" w:type="dxa"/>
          <w:bottom w:w="0" w:type="dxa"/>
          <w:right w:w="0" w:type="dxa"/>
        </w:tblCellMar>
      </w:tblPr>
      <w:tblGrid>
        <w:gridCol w:w="2510"/>
        <w:gridCol w:w="60"/>
        <w:gridCol w:w="99"/>
        <w:gridCol w:w="1000"/>
        <w:gridCol w:w="80"/>
        <w:gridCol w:w="60"/>
        <w:gridCol w:w="99"/>
        <w:gridCol w:w="1000"/>
        <w:gridCol w:w="95"/>
      </w:tblGrid>
      <w:tr>
        <w:trPr/>
        <w:tc>
          <w:tcPr>
            <w:tcW w:w="2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38" w:name="xdx_496_20241231_zIQkUuPJxjy9"/>
            <w:bookmarkEnd w:id="538"/>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39" w:name="xdx_49A_20251231_zu7YxfDCKW56"/>
            <w:bookmarkEnd w:id="539"/>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0" w:name="xdx_400_eus-gaap--AccountsReceivableGros"/>
            <w:bookmarkEnd w:id="540"/>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1" w:name="xdx_40A_eus-gaap--AllowanceForDoubtfulAc"/>
            <w:bookmarkEnd w:id="541"/>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2" w:name="xdx_406_eus-gaap--AccountsReceivableNetC"/>
            <w:bookmarkEnd w:id="542"/>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43" w:name="xdx_8A2_z5voqIeQh2i1"/>
      <w:bookmarkEnd w:id="5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conducts its business with creditworthy third parties. The Company determines, on a continuing basis, the probable losses and an allowance for credit loss, based on several factors including internal risk ratings, customer credit quality, payment history, historical bad debt/write-off experience and forecasted economic and market conditions. Accounts receivable are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4" w:name="xdx_899_eus-gaap--AccountsReceivableAllo"/>
      <w:bookmarkEnd w:id="544"/>
      <w:r>
        <w:rPr>
          <w:rFonts w:ascii="Times New Roman;Times;Serif" w:hAnsi="Times New Roman;Times;Serif"/>
          <w:b w:val="false"/>
          <w:i w:val="false"/>
          <w:caps w:val="false"/>
          <w:smallCaps w:val="false"/>
          <w:sz w:val="20"/>
        </w:rPr>
        <w:t>Movement in provision for allowance for credit losses – third parties are as follows: -</w:t>
      </w:r>
    </w:p>
    <w:p>
      <w:pPr>
        <w:pStyle w:val="TextBody"/>
        <w:bidi w:val="0"/>
        <w:spacing w:before="0" w:after="0"/>
        <w:ind w:left="0" w:right="0" w:hanging="0"/>
        <w:jc w:val="both"/>
        <w:rPr>
          <w:caps w:val="false"/>
          <w:smallCaps w:val="false"/>
        </w:rPr>
      </w:pPr>
      <w:r>
        <w:rPr>
          <w:caps w:val="false"/>
          <w:smallCaps w:val="false"/>
        </w:rPr>
        <w:t> </w:t>
      </w:r>
      <w:bookmarkStart w:id="545" w:name="xdx_8B8_zThktR5oEEVe"/>
      <w:bookmarkEnd w:id="545"/>
      <w:r>
        <w:rPr>
          <w:rFonts w:ascii="Times New Roman;Times;Serif" w:hAnsi="Times New Roman;Times;Serif"/>
          <w:b w:val="false"/>
          <w:i w:val="false"/>
          <w:caps w:val="false"/>
          <w:smallCaps w:val="false"/>
          <w:sz w:val="20"/>
        </w:rPr>
        <w:t>SCHEDULE OF PROVISION FOR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10187" w:type="dxa"/>
        <w:jc w:val="left"/>
        <w:tblInd w:w="0" w:type="dxa"/>
        <w:tblLayout w:type="fixed"/>
        <w:tblCellMar>
          <w:top w:w="0" w:type="dxa"/>
          <w:left w:w="0" w:type="dxa"/>
          <w:bottom w:w="0" w:type="dxa"/>
          <w:right w:w="0" w:type="dxa"/>
        </w:tblCellMar>
      </w:tblPr>
      <w:tblGrid>
        <w:gridCol w:w="5780"/>
        <w:gridCol w:w="60"/>
        <w:gridCol w:w="126"/>
        <w:gridCol w:w="1183"/>
        <w:gridCol w:w="95"/>
        <w:gridCol w:w="60"/>
        <w:gridCol w:w="126"/>
        <w:gridCol w:w="1183"/>
        <w:gridCol w:w="95"/>
        <w:gridCol w:w="60"/>
        <w:gridCol w:w="113"/>
        <w:gridCol w:w="1196"/>
        <w:gridCol w:w="110"/>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6" w:name="xdx_49F_20230101__20231231_zah6pwFyGgKe"/>
            <w:bookmarkEnd w:id="546"/>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7" w:name="xdx_496_20240101__20241231_z9x1ZMin8fhb"/>
            <w:bookmarkEnd w:id="547"/>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8" w:name="xdx_49D_20250101__20251231_z0XBxlP4BJw3"/>
            <w:bookmarkEnd w:id="548"/>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2025</w:t>
            </w:r>
          </w:p>
        </w:tc>
        <w:tc>
          <w:tcPr>
            <w:tcW w:w="11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11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49" w:name="xdx_40D_eus-gaap--AllowanceForDoubtfulAc"/>
            <w:bookmarkEnd w:id="549"/>
          </w:p>
        </w:tc>
      </w:tr>
      <w:tr>
        <w:trPr/>
        <w:tc>
          <w:tcPr>
            <w:tcW w:w="5780" w:type="dxa"/>
            <w:tcBorders/>
            <w:shd w:fill="CCEEFF" w:val="clear"/>
            <w:vAlign w:val="center"/>
          </w:tcPr>
          <w:p>
            <w:pPr>
              <w:pStyle w:val="TableContents"/>
              <w:bidi w:val="0"/>
              <w:spacing w:before="0" w:after="283"/>
              <w:jc w:val="left"/>
              <w:rPr/>
            </w:pPr>
            <w:r>
              <w:rPr/>
              <w:t>Provision for allowance for expected credit losses, beginning</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3,053</w:t>
            </w:r>
          </w:p>
        </w:tc>
        <w:tc>
          <w:tcPr>
            <w:tcW w:w="110" w:type="dxa"/>
            <w:tcBorders/>
            <w:shd w:fill="CCEEFF" w:val="clear"/>
            <w:vAlign w:val="center"/>
          </w:tcPr>
          <w:p>
            <w:pPr>
              <w:pStyle w:val="TableContents"/>
              <w:bidi w:val="0"/>
              <w:spacing w:before="0" w:after="283"/>
              <w:jc w:val="left"/>
              <w:rPr/>
            </w:pPr>
            <w:r>
              <w:rPr/>
              <w:t> </w:t>
            </w:r>
            <w:bookmarkStart w:id="550" w:name="xdx_401_eus-gaap--AllowanceForDoubtfulAc"/>
            <w:bookmarkEnd w:id="550"/>
          </w:p>
        </w:tc>
      </w:tr>
      <w:tr>
        <w:trPr/>
        <w:tc>
          <w:tcPr>
            <w:tcW w:w="5780" w:type="dxa"/>
            <w:tcBorders/>
            <w:shd w:fill="FFFFFF" w:val="clear"/>
            <w:vAlign w:val="center"/>
          </w:tcPr>
          <w:p>
            <w:pPr>
              <w:pStyle w:val="TableContents"/>
              <w:bidi w:val="0"/>
              <w:spacing w:before="0" w:after="283"/>
              <w:jc w:val="left"/>
              <w:rPr/>
            </w:pPr>
            <w:r>
              <w:rPr/>
              <w:t>Provision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1,442</w:t>
            </w:r>
          </w:p>
        </w:tc>
        <w:tc>
          <w:tcPr>
            <w:tcW w:w="110" w:type="dxa"/>
            <w:tcBorders/>
            <w:shd w:fill="FFFFFF" w:val="clear"/>
            <w:vAlign w:val="center"/>
          </w:tcPr>
          <w:p>
            <w:pPr>
              <w:pStyle w:val="TableContents"/>
              <w:bidi w:val="0"/>
              <w:spacing w:before="0" w:after="283"/>
              <w:jc w:val="left"/>
              <w:rPr/>
            </w:pPr>
            <w:r>
              <w:rPr/>
              <w:t> </w:t>
            </w:r>
            <w:bookmarkStart w:id="551" w:name="xdx_409_eus-gaap--AllowanceForDoubtfulAc"/>
            <w:bookmarkEnd w:id="551"/>
          </w:p>
        </w:tc>
      </w:tr>
      <w:tr>
        <w:trPr/>
        <w:tc>
          <w:tcPr>
            <w:tcW w:w="5780" w:type="dxa"/>
            <w:tcBorders/>
            <w:shd w:fill="CCEEFF" w:val="clear"/>
            <w:vAlign w:val="center"/>
          </w:tcPr>
          <w:p>
            <w:pPr>
              <w:pStyle w:val="TableContents"/>
              <w:bidi w:val="0"/>
              <w:spacing w:before="0" w:after="283"/>
              <w:jc w:val="left"/>
              <w:rPr/>
            </w:pPr>
            <w:r>
              <w:rPr/>
              <w:t>Written off</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bookmarkStart w:id="552" w:name="xdx_409_ecustom--AllowanceForDoubtfulAcc"/>
            <w:bookmarkEnd w:id="552"/>
          </w:p>
        </w:tc>
      </w:tr>
      <w:tr>
        <w:trPr/>
        <w:tc>
          <w:tcPr>
            <w:tcW w:w="5780" w:type="dxa"/>
            <w:tcBorders/>
            <w:shd w:fill="FFFFFF" w:val="clear"/>
            <w:vAlign w:val="center"/>
          </w:tcPr>
          <w:p>
            <w:pPr>
              <w:pStyle w:val="TableContents"/>
              <w:bidi w:val="0"/>
              <w:spacing w:before="0" w:after="283"/>
              <w:jc w:val="left"/>
              <w:rPr/>
            </w:pPr>
            <w:r>
              <w:rPr/>
              <w:t>Reversal</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53" w:name="xdx_40D_eus-gaap--AllowanceForDoubtfulAc"/>
            <w:bookmarkEnd w:id="553"/>
          </w:p>
        </w:tc>
      </w:tr>
      <w:tr>
        <w:trPr/>
        <w:tc>
          <w:tcPr>
            <w:tcW w:w="5780" w:type="dxa"/>
            <w:tcBorders/>
            <w:shd w:fill="CCEEFF" w:val="clear"/>
            <w:vAlign w:val="center"/>
          </w:tcPr>
          <w:p>
            <w:pPr>
              <w:pStyle w:val="TableContents"/>
              <w:bidi w:val="0"/>
              <w:spacing w:before="0" w:after="283"/>
              <w:jc w:val="left"/>
              <w:rPr/>
            </w:pPr>
            <w:r>
              <w:rPr/>
              <w:t>Provision for allowance for expected credit losses, ending</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3,642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3,053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1,901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4" w:name="xdx_8A4_zcuVCgMXnLBi"/>
      <w:bookmarkEnd w:id="55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555" w:name="xdx_890_ecustom--ScheduleOfAnalysisOfAcc"/>
      <w:bookmarkEnd w:id="555"/>
      <w:r>
        <w:rPr>
          <w:rFonts w:ascii="Times New Roman;Times;Serif" w:hAnsi="Times New Roman;Times;Serif"/>
          <w:b w:val="false"/>
          <w:i w:val="false"/>
          <w:caps w:val="false"/>
          <w:smallCaps w:val="false"/>
          <w:sz w:val="20"/>
        </w:rPr>
        <w:t>As at the end of each reporting period, the aging analysis of accounts receivable, net of provision for allowance for expected credit losses, based on due date is as follows:</w:t>
      </w:r>
    </w:p>
    <w:p>
      <w:pPr>
        <w:pStyle w:val="TextBody"/>
        <w:bidi w:val="0"/>
        <w:jc w:val="both"/>
        <w:rPr>
          <w:rFonts w:ascii="Times New Roman;Times;Serif" w:hAnsi="Times New Roman;Times;Serif"/>
          <w:b w:val="false"/>
          <w:i w:val="false"/>
          <w:caps w:val="false"/>
          <w:smallCaps w:val="false"/>
          <w:sz w:val="20"/>
        </w:rPr>
      </w:pPr>
      <w:bookmarkStart w:id="556" w:name="xdx_8B8_zGPuTz2Jksje"/>
      <w:bookmarkEnd w:id="556"/>
      <w:r>
        <w:rPr>
          <w:rFonts w:ascii="Times New Roman;Times;Serif" w:hAnsi="Times New Roman;Times;Serif"/>
          <w:b w:val="false"/>
          <w:i w:val="false"/>
          <w:caps w:val="false"/>
          <w:smallCaps w:val="false"/>
          <w:sz w:val="20"/>
        </w:rPr>
        <w:t>SCHEDULE OF ANALYSIS OF ACCOUNTS RECEIVABLE</w:t>
      </w:r>
    </w:p>
    <w:tbl>
      <w:tblPr>
        <w:tblW w:w="4868" w:type="dxa"/>
        <w:jc w:val="left"/>
        <w:tblInd w:w="0" w:type="dxa"/>
        <w:tblLayout w:type="fixed"/>
        <w:tblCellMar>
          <w:top w:w="0" w:type="dxa"/>
          <w:left w:w="0" w:type="dxa"/>
          <w:bottom w:w="0" w:type="dxa"/>
          <w:right w:w="0" w:type="dxa"/>
        </w:tblCellMar>
      </w:tblPr>
      <w:tblGrid>
        <w:gridCol w:w="2555"/>
        <w:gridCol w:w="60"/>
        <w:gridCol w:w="92"/>
        <w:gridCol w:w="905"/>
        <w:gridCol w:w="92"/>
        <w:gridCol w:w="92"/>
        <w:gridCol w:w="92"/>
        <w:gridCol w:w="905"/>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7" w:name="xdx_493_20241231_z8h7hjRNAag"/>
            <w:bookmarkEnd w:id="557"/>
          </w:p>
        </w:tc>
        <w:tc>
          <w:tcPr>
            <w:tcW w:w="997" w:type="dxa"/>
            <w:gridSpan w:val="2"/>
            <w:tcBorders/>
            <w:vAlign w:val="center"/>
          </w:tcPr>
          <w:p>
            <w:pPr>
              <w:pStyle w:val="TableContents"/>
              <w:bidi w:val="0"/>
              <w:spacing w:before="0" w:after="283"/>
              <w:jc w:val="center"/>
              <w:rPr>
                <w:b/>
                <w:sz w:val="20"/>
              </w:rPr>
            </w:pPr>
            <w:r>
              <w:rPr>
                <w:b/>
                <w:sz w:val="20"/>
              </w:rPr>
              <w:t>S$’000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558" w:name="xdx_490_20251231_zkbayeQTed7"/>
            <w:bookmarkEnd w:id="558"/>
          </w:p>
        </w:tc>
        <w:tc>
          <w:tcPr>
            <w:tcW w:w="997" w:type="dxa"/>
            <w:gridSpan w:val="2"/>
            <w:tcBorders/>
            <w:vAlign w:val="center"/>
          </w:tcPr>
          <w:p>
            <w:pPr>
              <w:pStyle w:val="TableContents"/>
              <w:bidi w:val="0"/>
              <w:spacing w:before="0" w:after="283"/>
              <w:jc w:val="center"/>
              <w:rPr>
                <w:b/>
                <w:sz w:val="20"/>
              </w:rPr>
            </w:pPr>
            <w:r>
              <w:rPr>
                <w:b/>
                <w:sz w:val="20"/>
              </w:rPr>
              <w:t>S$’000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center"/>
              <w:rPr>
                <w:b/>
                <w:sz w:val="20"/>
              </w:rPr>
            </w:pPr>
            <w:r>
              <w:rPr>
                <w:b/>
                <w:sz w:val="20"/>
              </w:rPr>
              <w:t>S$’000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center"/>
              <w:rPr>
                <w:b/>
                <w:sz w:val="20"/>
              </w:rPr>
            </w:pPr>
            <w:r>
              <w:rPr>
                <w:b/>
                <w:sz w:val="20"/>
              </w:rPr>
              <w:t>S$’000</w:t>
            </w:r>
          </w:p>
        </w:tc>
        <w:tc>
          <w:tcPr>
            <w:tcW w:w="75" w:type="dxa"/>
            <w:tcBorders/>
            <w:vAlign w:val="center"/>
          </w:tcPr>
          <w:p>
            <w:pPr>
              <w:pStyle w:val="TableContents"/>
              <w:bidi w:val="0"/>
              <w:spacing w:before="0" w:after="283"/>
              <w:jc w:val="left"/>
              <w:rPr/>
            </w:pPr>
            <w:r>
              <w:rPr/>
              <w:t> </w:t>
            </w:r>
            <w:bookmarkStart w:id="559" w:name="xdx_40D_eus-gaap--AccountsReceivableNetC"/>
            <w:bookmarkEnd w:id="559"/>
          </w:p>
        </w:tc>
      </w:tr>
      <w:tr>
        <w:trPr/>
        <w:tc>
          <w:tcPr>
            <w:tcW w:w="2555" w:type="dxa"/>
            <w:tcBorders/>
            <w:shd w:fill="CCEEFF" w:val="clear"/>
            <w:vAlign w:val="center"/>
          </w:tcPr>
          <w:p>
            <w:pPr>
              <w:pStyle w:val="TableContents"/>
              <w:bidi w:val="0"/>
              <w:spacing w:before="0" w:after="283"/>
              <w:jc w:val="left"/>
              <w:rPr>
                <w:sz w:val="20"/>
              </w:rPr>
            </w:pPr>
            <w:r>
              <w:rPr>
                <w:sz w:val="20"/>
              </w:rPr>
              <w:t>Within 30 days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6,345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4,799</w:t>
            </w:r>
          </w:p>
        </w:tc>
        <w:tc>
          <w:tcPr>
            <w:tcW w:w="75" w:type="dxa"/>
            <w:tcBorders/>
            <w:shd w:fill="CCEEFF" w:val="clear"/>
            <w:vAlign w:val="center"/>
          </w:tcPr>
          <w:p>
            <w:pPr>
              <w:pStyle w:val="TableContents"/>
              <w:bidi w:val="0"/>
              <w:spacing w:before="0" w:after="283"/>
              <w:jc w:val="left"/>
              <w:rPr/>
            </w:pPr>
            <w:r>
              <w:rPr/>
              <w:t> </w:t>
            </w:r>
            <w:bookmarkStart w:id="560" w:name="xdx_40F_eus-gaap--AccountsReceivableNetC"/>
            <w:bookmarkEnd w:id="560"/>
          </w:p>
        </w:tc>
      </w:tr>
      <w:tr>
        <w:trPr/>
        <w:tc>
          <w:tcPr>
            <w:tcW w:w="2555" w:type="dxa"/>
            <w:tcBorders/>
            <w:shd w:fill="FFFFFF" w:val="clear"/>
            <w:vAlign w:val="center"/>
          </w:tcPr>
          <w:p>
            <w:pPr>
              <w:pStyle w:val="TableContents"/>
              <w:bidi w:val="0"/>
              <w:spacing w:before="0" w:after="283"/>
              <w:jc w:val="left"/>
              <w:rPr>
                <w:sz w:val="20"/>
              </w:rPr>
            </w:pPr>
            <w:r>
              <w:rPr>
                <w:sz w:val="20"/>
              </w:rPr>
              <w:t>Between 31 and 60 days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3,290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1,367</w:t>
            </w:r>
          </w:p>
        </w:tc>
        <w:tc>
          <w:tcPr>
            <w:tcW w:w="75" w:type="dxa"/>
            <w:tcBorders/>
            <w:shd w:fill="FFFFFF" w:val="clear"/>
            <w:vAlign w:val="center"/>
          </w:tcPr>
          <w:p>
            <w:pPr>
              <w:pStyle w:val="TableContents"/>
              <w:bidi w:val="0"/>
              <w:spacing w:before="0" w:after="283"/>
              <w:jc w:val="left"/>
              <w:rPr/>
            </w:pPr>
            <w:r>
              <w:rPr/>
              <w:t> </w:t>
            </w:r>
            <w:bookmarkStart w:id="561" w:name="xdx_403_eus-gaap--AccountsReceivableNetC"/>
            <w:bookmarkEnd w:id="561"/>
          </w:p>
        </w:tc>
      </w:tr>
      <w:tr>
        <w:trPr/>
        <w:tc>
          <w:tcPr>
            <w:tcW w:w="2555" w:type="dxa"/>
            <w:tcBorders/>
            <w:shd w:fill="CCEEFF" w:val="clear"/>
            <w:vAlign w:val="center"/>
          </w:tcPr>
          <w:p>
            <w:pPr>
              <w:pStyle w:val="TableContents"/>
              <w:bidi w:val="0"/>
              <w:spacing w:before="0" w:after="283"/>
              <w:jc w:val="left"/>
              <w:rPr>
                <w:sz w:val="20"/>
              </w:rPr>
            </w:pPr>
            <w:r>
              <w:rPr>
                <w:sz w:val="20"/>
              </w:rPr>
              <w:t>Between 61 and 90 days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1,413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2,261</w:t>
            </w:r>
          </w:p>
        </w:tc>
        <w:tc>
          <w:tcPr>
            <w:tcW w:w="75" w:type="dxa"/>
            <w:tcBorders/>
            <w:shd w:fill="CCEEFF" w:val="clear"/>
            <w:vAlign w:val="center"/>
          </w:tcPr>
          <w:p>
            <w:pPr>
              <w:pStyle w:val="TableContents"/>
              <w:bidi w:val="0"/>
              <w:spacing w:before="0" w:after="283"/>
              <w:jc w:val="left"/>
              <w:rPr/>
            </w:pPr>
            <w:r>
              <w:rPr/>
              <w:t> </w:t>
            </w:r>
            <w:bookmarkStart w:id="562" w:name="xdx_409_eus-gaap--AccountsReceivableNetC"/>
            <w:bookmarkEnd w:id="562"/>
          </w:p>
        </w:tc>
      </w:tr>
      <w:tr>
        <w:trPr/>
        <w:tc>
          <w:tcPr>
            <w:tcW w:w="2555" w:type="dxa"/>
            <w:tcBorders/>
            <w:shd w:fill="FFFFFF" w:val="clear"/>
            <w:vAlign w:val="center"/>
          </w:tcPr>
          <w:p>
            <w:pPr>
              <w:pStyle w:val="TableContents"/>
              <w:bidi w:val="0"/>
              <w:spacing w:before="0" w:after="283"/>
              <w:jc w:val="left"/>
              <w:rPr>
                <w:sz w:val="20"/>
              </w:rPr>
            </w:pPr>
            <w:r>
              <w:rPr>
                <w:sz w:val="20"/>
              </w:rPr>
              <w:t>Between 91 and 120 days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1,089</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1,307</w:t>
            </w:r>
          </w:p>
        </w:tc>
        <w:tc>
          <w:tcPr>
            <w:tcW w:w="75" w:type="dxa"/>
            <w:tcBorders/>
            <w:shd w:fill="FFFFFF" w:val="clear"/>
            <w:vAlign w:val="center"/>
          </w:tcPr>
          <w:p>
            <w:pPr>
              <w:pStyle w:val="TableContents"/>
              <w:bidi w:val="0"/>
              <w:spacing w:before="0" w:after="283"/>
              <w:jc w:val="left"/>
              <w:rPr/>
            </w:pPr>
            <w:r>
              <w:rPr/>
              <w:t> </w:t>
            </w:r>
            <w:bookmarkStart w:id="563" w:name="xdx_401_eus-gaap--AccountsReceivableNetC"/>
            <w:bookmarkEnd w:id="563"/>
          </w:p>
        </w:tc>
      </w:tr>
      <w:tr>
        <w:trPr/>
        <w:tc>
          <w:tcPr>
            <w:tcW w:w="2555" w:type="dxa"/>
            <w:tcBorders/>
            <w:shd w:fill="CCEEFF" w:val="clear"/>
            <w:vAlign w:val="center"/>
          </w:tcPr>
          <w:p>
            <w:pPr>
              <w:pStyle w:val="TableContents"/>
              <w:bidi w:val="0"/>
              <w:spacing w:before="0" w:after="283"/>
              <w:jc w:val="left"/>
              <w:rPr>
                <w:sz w:val="20"/>
              </w:rPr>
            </w:pPr>
            <w:r>
              <w:rPr>
                <w:sz w:val="20"/>
              </w:rPr>
              <w:t>Between 121 and 180 days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1,478</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75" w:type="dxa"/>
            <w:tcBorders/>
            <w:shd w:fill="CCEEFF" w:val="clear"/>
            <w:vAlign w:val="center"/>
          </w:tcPr>
          <w:p>
            <w:pPr>
              <w:pStyle w:val="TableContents"/>
              <w:bidi w:val="0"/>
              <w:spacing w:before="0" w:after="283"/>
              <w:jc w:val="left"/>
              <w:rPr/>
            </w:pPr>
            <w:r>
              <w:rPr/>
              <w:t> </w:t>
            </w:r>
            <w:bookmarkStart w:id="564" w:name="xdx_405_eus-gaap--AccountsReceivableNetC"/>
            <w:bookmarkEnd w:id="564"/>
          </w:p>
        </w:tc>
      </w:tr>
      <w:tr>
        <w:trPr/>
        <w:tc>
          <w:tcPr>
            <w:tcW w:w="2555" w:type="dxa"/>
            <w:tcBorders/>
            <w:shd w:fill="FFFFFF" w:val="clear"/>
            <w:vAlign w:val="center"/>
          </w:tcPr>
          <w:p>
            <w:pPr>
              <w:pStyle w:val="TableContents"/>
              <w:bidi w:val="0"/>
              <w:spacing w:before="0" w:after="283"/>
              <w:jc w:val="left"/>
              <w:rPr>
                <w:sz w:val="20"/>
              </w:rPr>
            </w:pPr>
            <w:r>
              <w:rPr>
                <w:sz w:val="20"/>
              </w:rPr>
              <w:t>Between 181 and 360 days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863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75" w:type="dxa"/>
            <w:tcBorders/>
            <w:shd w:fill="FFFFFF" w:val="clear"/>
            <w:vAlign w:val="center"/>
          </w:tcPr>
          <w:p>
            <w:pPr>
              <w:pStyle w:val="TableContents"/>
              <w:bidi w:val="0"/>
              <w:spacing w:before="0" w:after="283"/>
              <w:jc w:val="left"/>
              <w:rPr/>
            </w:pPr>
            <w:r>
              <w:rPr/>
              <w:t> </w:t>
            </w:r>
            <w:bookmarkStart w:id="565" w:name="xdx_401_eus-gaap--AccountsReceivableNetC"/>
            <w:bookmarkEnd w:id="565"/>
          </w:p>
        </w:tc>
      </w:tr>
      <w:tr>
        <w:trPr/>
        <w:tc>
          <w:tcPr>
            <w:tcW w:w="2555" w:type="dxa"/>
            <w:tcBorders/>
            <w:shd w:fill="CCEEFF" w:val="clear"/>
            <w:vAlign w:val="center"/>
          </w:tcPr>
          <w:p>
            <w:pPr>
              <w:pStyle w:val="TableContents"/>
              <w:bidi w:val="0"/>
              <w:spacing w:before="0" w:after="283"/>
              <w:jc w:val="left"/>
              <w:rPr>
                <w:sz w:val="20"/>
              </w:rPr>
            </w:pPr>
            <w:r>
              <w:rPr>
                <w:sz w:val="20"/>
              </w:rPr>
              <w:t>Over 360 days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1,779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1,060</w:t>
            </w:r>
          </w:p>
        </w:tc>
        <w:tc>
          <w:tcPr>
            <w:tcW w:w="75" w:type="dxa"/>
            <w:tcBorders/>
            <w:shd w:fill="CCEEFF" w:val="clear"/>
            <w:vAlign w:val="center"/>
          </w:tcPr>
          <w:p>
            <w:pPr>
              <w:pStyle w:val="TableContents"/>
              <w:bidi w:val="0"/>
              <w:spacing w:before="0" w:after="283"/>
              <w:jc w:val="left"/>
              <w:rPr/>
            </w:pPr>
            <w:r>
              <w:rPr/>
              <w:t> </w:t>
            </w:r>
            <w:bookmarkStart w:id="566" w:name="xdx_409_eus-gaap--AccountsReceivableNetC"/>
            <w:bookmarkEnd w:id="566"/>
          </w:p>
        </w:tc>
      </w:tr>
      <w:tr>
        <w:trPr/>
        <w:tc>
          <w:tcPr>
            <w:tcW w:w="2555" w:type="dxa"/>
            <w:tcBorders/>
            <w:shd w:fill="FFFFFF" w:val="clear"/>
            <w:vAlign w:val="center"/>
          </w:tcPr>
          <w:p>
            <w:pPr>
              <w:pStyle w:val="TableContents"/>
              <w:bidi w:val="0"/>
              <w:spacing w:before="0" w:after="283"/>
              <w:jc w:val="left"/>
              <w:rPr>
                <w:b/>
                <w:sz w:val="20"/>
              </w:rPr>
            </w:pPr>
            <w:r>
              <w:rPr>
                <w:b/>
                <w:sz w:val="20"/>
              </w:rPr>
              <w:t>Total account receivables, net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16,257</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14,410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67" w:name="xdx_8A8_zviC4VjIXfIb"/>
      <w:bookmarkEnd w:id="567"/>
      <w:r>
        <w:rPr>
          <w:caps w:val="false"/>
          <w:smallCaps w:val="false"/>
        </w:rPr>
        <w:t> </w:t>
      </w:r>
      <w:r>
        <w:rPr>
          <w:rFonts w:ascii="Times New Roman;Times;Serif" w:hAnsi="Times New Roman;Times;Serif"/>
          <w:b w:val="false"/>
          <w:i w:val="false"/>
          <w:caps w:val="false"/>
          <w:smallCaps w:val="false"/>
          <w:sz w:val="20"/>
        </w:rPr>
        <w:br/>
        <w:t>Accounts receivable, net due over 120 days are mainly due from few major customers with good payment profile and extended credit term are given. At the date of this report, approximately more than </w:t>
      </w:r>
      <w:bookmarkStart w:id="568" w:name="xdx_908_eus-gaap--ConcentrationRiskPerce"/>
      <w:bookmarkEnd w:id="568"/>
      <w:r>
        <w:rPr>
          <w:rFonts w:ascii="Times New Roman;Times;Serif" w:hAnsi="Times New Roman;Times;Serif"/>
          <w:b w:val="false"/>
          <w:i w:val="false"/>
          <w:caps w:val="false"/>
          <w:smallCaps w:val="false"/>
          <w:sz w:val="20"/>
        </w:rPr>
        <w:t>70% of the total accounts receivable, net were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69" w:name="xdx_808_eus-gaap--InventoryDisclosureTex"/>
      <w:bookmarkEnd w:id="569"/>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5 </w:t>
      </w:r>
      <w:bookmarkStart w:id="570" w:name="xdx_82F_zBcFZRrKFnVi"/>
      <w:bookmarkEnd w:id="570"/>
      <w:r>
        <w:rPr>
          <w:rFonts w:ascii="Times New Roman;Times;Serif" w:hAnsi="Times New Roman;Times;Serif"/>
          <w:b/>
          <w:i w:val="false"/>
          <w:caps w:val="false"/>
          <w:smallCaps w:val="false"/>
          <w:sz w:val="20"/>
        </w:rPr>
        <w:t>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1" w:name="xdx_89B_eus-gaap--ScheduleOfInventoryCur"/>
      <w:bookmarkEnd w:id="571"/>
      <w:r>
        <w:rPr>
          <w:rFonts w:ascii="Times New Roman;Times;Serif" w:hAnsi="Times New Roman;Times;Serif"/>
          <w:b w:val="false"/>
          <w:i w:val="false"/>
          <w:caps w:val="false"/>
          <w:smallCaps w:val="false"/>
          <w:sz w:val="20"/>
        </w:rPr>
        <w:t>Inventories, net consist of the following:</w:t>
      </w:r>
    </w:p>
    <w:p>
      <w:pPr>
        <w:pStyle w:val="TextBody"/>
        <w:bidi w:val="0"/>
        <w:spacing w:before="0" w:after="0"/>
        <w:ind w:left="0" w:right="0" w:hanging="0"/>
        <w:jc w:val="both"/>
        <w:rPr>
          <w:caps w:val="false"/>
          <w:smallCaps w:val="false"/>
        </w:rPr>
      </w:pPr>
      <w:r>
        <w:rPr>
          <w:caps w:val="false"/>
          <w:smallCaps w:val="false"/>
        </w:rPr>
        <w:t> </w:t>
      </w:r>
      <w:bookmarkStart w:id="572" w:name="xdx_8B5_z2TnlnP2Lz02"/>
      <w:bookmarkEnd w:id="572"/>
      <w:r>
        <w:rPr>
          <w:rFonts w:ascii="Times New Roman;Times;Serif" w:hAnsi="Times New Roman;Times;Serif"/>
          <w:b w:val="false"/>
          <w:i w:val="false"/>
          <w:caps w:val="false"/>
          <w:smallCaps w:val="false"/>
          <w:sz w:val="20"/>
        </w:rPr>
        <w:t>SCHEDULE OF INVENTORIES</w:t>
      </w:r>
    </w:p>
    <w:tbl>
      <w:tblPr>
        <w:tblW w:w="6218" w:type="dxa"/>
        <w:jc w:val="left"/>
        <w:tblInd w:w="0" w:type="dxa"/>
        <w:tblLayout w:type="fixed"/>
        <w:tblCellMar>
          <w:top w:w="0" w:type="dxa"/>
          <w:left w:w="0" w:type="dxa"/>
          <w:bottom w:w="0" w:type="dxa"/>
          <w:right w:w="0" w:type="dxa"/>
        </w:tblCellMar>
      </w:tblPr>
      <w:tblGrid>
        <w:gridCol w:w="3725"/>
        <w:gridCol w:w="60"/>
        <w:gridCol w:w="101"/>
        <w:gridCol w:w="998"/>
        <w:gridCol w:w="80"/>
        <w:gridCol w:w="60"/>
        <w:gridCol w:w="101"/>
        <w:gridCol w:w="998"/>
        <w:gridCol w:w="95"/>
      </w:tblGrid>
      <w:tr>
        <w:trPr/>
        <w:tc>
          <w:tcPr>
            <w:tcW w:w="3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573" w:name="xdx_496_20241231_zV1oW0DqOv6e"/>
            <w:bookmarkEnd w:id="573"/>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574" w:name="xdx_491_20251231_znXxvM7E1ELk"/>
            <w:bookmarkEnd w:id="574"/>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575" w:name="xdx_409_eus-gaap--InventoryFinishedGoods"/>
            <w:bookmarkEnd w:id="575"/>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 at cost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19,093</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16,234</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576" w:name="xdx_40E_eus-gaap--InventoryAdjustments_i"/>
            <w:bookmarkEnd w:id="576"/>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inventories obsolescence</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7" w:name="xdx_406_eus-gaap--InventoryNet_iTI_pn3n3"/>
            <w:bookmarkEnd w:id="577"/>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18,620</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15,761</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78" w:name="xdx_8A3_zV53kDkXrv9c"/>
      <w:bookmarkEnd w:id="57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579" w:name="xdx_893_eus-gaap--ScheduleOfInventoryNon"/>
      <w:bookmarkEnd w:id="579"/>
      <w:r>
        <w:rPr>
          <w:rFonts w:ascii="Times New Roman;Times;Serif" w:hAnsi="Times New Roman;Times;Serif"/>
          <w:b w:val="false"/>
          <w:i w:val="false"/>
          <w:caps w:val="false"/>
          <w:smallCaps w:val="false"/>
          <w:sz w:val="20"/>
        </w:rPr>
        <w:t>Movements in allowance for inventories obsolescence are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580" w:name="xdx_8B6_zzk92FNynD5j"/>
      <w:bookmarkEnd w:id="580"/>
      <w:r>
        <w:rPr>
          <w:rFonts w:ascii="Times New Roman;Times;Serif" w:hAnsi="Times New Roman;Times;Serif"/>
          <w:b w:val="false"/>
          <w:i w:val="false"/>
          <w:caps w:val="false"/>
          <w:smallCaps w:val="false"/>
          <w:sz w:val="20"/>
        </w:rPr>
        <w:t>SCHEDULE OF ANALYSIS OF ALLOWANCE</w:t>
      </w:r>
    </w:p>
    <w:tbl>
      <w:tblPr>
        <w:tblW w:w="6663" w:type="dxa"/>
        <w:jc w:val="left"/>
        <w:tblInd w:w="0" w:type="dxa"/>
        <w:tblLayout w:type="fixed"/>
        <w:tblCellMar>
          <w:top w:w="0" w:type="dxa"/>
          <w:left w:w="0" w:type="dxa"/>
          <w:bottom w:w="0" w:type="dxa"/>
          <w:right w:w="0" w:type="dxa"/>
        </w:tblCellMar>
      </w:tblPr>
      <w:tblGrid>
        <w:gridCol w:w="4190"/>
        <w:gridCol w:w="60"/>
        <w:gridCol w:w="99"/>
        <w:gridCol w:w="1000"/>
        <w:gridCol w:w="80"/>
        <w:gridCol w:w="60"/>
        <w:gridCol w:w="99"/>
        <w:gridCol w:w="1000"/>
        <w:gridCol w:w="75"/>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1" w:name="xdx_493_20240101__20241231_zUHeAD3D8A93"/>
            <w:bookmarkEnd w:id="581"/>
          </w:p>
        </w:tc>
        <w:tc>
          <w:tcPr>
            <w:tcW w:w="1099" w:type="dxa"/>
            <w:gridSpan w:val="2"/>
            <w:tcBorders>
              <w:bottom w:val="single" w:sz="8" w:space="0" w:color="000000"/>
            </w:tcBorders>
            <w:tcMar>
              <w:bottom w:w="28" w:type="dxa"/>
            </w:tcMar>
            <w:vAlign w:val="center"/>
          </w:tcPr>
          <w:p>
            <w:pPr>
              <w:pStyle w:val="TableContents"/>
              <w:bidi w:val="0"/>
              <w:jc w:val="center"/>
              <w:rPr>
                <w:sz w:val="20"/>
              </w:rPr>
            </w:pPr>
            <w:r>
              <w:rPr>
                <w:sz w:val="20"/>
              </w:rPr>
              <w:t>As of</w:t>
            </w:r>
          </w:p>
          <w:p>
            <w:pPr>
              <w:pStyle w:val="TableContents"/>
              <w:bidi w:val="0"/>
              <w:spacing w:before="0" w:after="283"/>
              <w:jc w:val="center"/>
              <w:rPr>
                <w:sz w:val="20"/>
              </w:rPr>
            </w:pPr>
            <w:r>
              <w:rPr>
                <w:sz w:val="20"/>
              </w:rPr>
              <w:t>Dec 31,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2" w:name="xdx_495_20250101__20251231_zhb3gUoNcySa"/>
            <w:bookmarkEnd w:id="582"/>
          </w:p>
        </w:tc>
        <w:tc>
          <w:tcPr>
            <w:tcW w:w="1099" w:type="dxa"/>
            <w:gridSpan w:val="2"/>
            <w:tcBorders>
              <w:bottom w:val="single" w:sz="8" w:space="0" w:color="000000"/>
            </w:tcBorders>
            <w:tcMar>
              <w:bottom w:w="28" w:type="dxa"/>
            </w:tcMar>
            <w:vAlign w:val="center"/>
          </w:tcPr>
          <w:p>
            <w:pPr>
              <w:pStyle w:val="TableContents"/>
              <w:bidi w:val="0"/>
              <w:jc w:val="center"/>
              <w:rPr>
                <w:sz w:val="20"/>
              </w:rPr>
            </w:pPr>
            <w:r>
              <w:rPr>
                <w:sz w:val="20"/>
              </w:rPr>
              <w:t>As of</w:t>
            </w:r>
          </w:p>
          <w:p>
            <w:pPr>
              <w:pStyle w:val="TableContents"/>
              <w:bidi w:val="0"/>
              <w:spacing w:before="0" w:after="283"/>
              <w:jc w:val="center"/>
              <w:rPr>
                <w:sz w:val="20"/>
              </w:rPr>
            </w:pPr>
            <w:r>
              <w:rPr>
                <w:sz w:val="20"/>
              </w:rPr>
              <w:t>Dec 31, 2025</w:t>
            </w:r>
          </w:p>
        </w:tc>
        <w:tc>
          <w:tcPr>
            <w:tcW w:w="75" w:type="dxa"/>
            <w:tcBorders/>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9" w:type="dxa"/>
            <w:tcBorders/>
            <w:shd w:fill="FFFFFF" w:val="clear"/>
            <w:vAlign w:val="center"/>
          </w:tcPr>
          <w:p>
            <w:pPr>
              <w:pStyle w:val="TableContents"/>
              <w:bidi w:val="0"/>
              <w:spacing w:before="0" w:after="283"/>
              <w:jc w:val="center"/>
              <w:rPr/>
            </w:pPr>
            <w:r>
              <w:rPr/>
              <w:t> </w:t>
            </w:r>
          </w:p>
        </w:tc>
        <w:tc>
          <w:tcPr>
            <w:tcW w:w="1000" w:type="dxa"/>
            <w:tcBorders/>
            <w:shd w:fill="FFFFFF" w:val="clear"/>
            <w:vAlign w:val="center"/>
          </w:tcPr>
          <w:p>
            <w:pPr>
              <w:pStyle w:val="TableContents"/>
              <w:bidi w:val="0"/>
              <w:spacing w:before="0" w:after="283"/>
              <w:jc w:val="center"/>
              <w:rPr>
                <w:sz w:val="20"/>
              </w:rPr>
            </w:pPr>
            <w:r>
              <w:rPr>
                <w:sz w:val="20"/>
              </w:rPr>
              <w:t>S$’000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9" w:type="dxa"/>
            <w:tcBorders/>
            <w:shd w:fill="FFFFFF" w:val="clear"/>
            <w:vAlign w:val="center"/>
          </w:tcPr>
          <w:p>
            <w:pPr>
              <w:pStyle w:val="TableContents"/>
              <w:bidi w:val="0"/>
              <w:spacing w:before="0" w:after="283"/>
              <w:jc w:val="center"/>
              <w:rPr/>
            </w:pPr>
            <w:r>
              <w:rPr/>
              <w:t> </w:t>
            </w:r>
          </w:p>
        </w:tc>
        <w:tc>
          <w:tcPr>
            <w:tcW w:w="1000" w:type="dxa"/>
            <w:tcBorders/>
            <w:shd w:fill="FFFFFF" w:val="clear"/>
            <w:vAlign w:val="center"/>
          </w:tcPr>
          <w:p>
            <w:pPr>
              <w:pStyle w:val="TableContents"/>
              <w:bidi w:val="0"/>
              <w:spacing w:before="0" w:after="283"/>
              <w:jc w:val="center"/>
              <w:rPr>
                <w:sz w:val="20"/>
              </w:rPr>
            </w:pPr>
            <w:r>
              <w:rPr>
                <w:sz w:val="20"/>
              </w:rPr>
              <w:t>S$’000</w:t>
            </w:r>
          </w:p>
        </w:tc>
        <w:tc>
          <w:tcPr>
            <w:tcW w:w="75" w:type="dxa"/>
            <w:tcBorders/>
            <w:shd w:fill="FFFFFF" w:val="clear"/>
            <w:vAlign w:val="center"/>
          </w:tcPr>
          <w:p>
            <w:pPr>
              <w:pStyle w:val="TableContents"/>
              <w:bidi w:val="0"/>
              <w:spacing w:before="0" w:after="283"/>
              <w:jc w:val="center"/>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83" w:name="xdx_40B_eus-gaap--InventoryValuationRese"/>
            <w:bookmarkEnd w:id="583"/>
          </w:p>
        </w:tc>
      </w:tr>
      <w:tr>
        <w:trPr/>
        <w:tc>
          <w:tcPr>
            <w:tcW w:w="4190" w:type="dxa"/>
            <w:tcBorders/>
            <w:shd w:fill="CCEEFF" w:val="clear"/>
            <w:vAlign w:val="center"/>
          </w:tcPr>
          <w:p>
            <w:pPr>
              <w:pStyle w:val="TableContents"/>
              <w:bidi w:val="0"/>
              <w:spacing w:before="0" w:after="283"/>
              <w:jc w:val="left"/>
              <w:rPr>
                <w:sz w:val="20"/>
              </w:rPr>
            </w:pPr>
            <w:r>
              <w:rPr>
                <w:sz w:val="20"/>
              </w:rPr>
              <w:t>Allowance for inventories obsolescence, beginning</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sz w:val="20"/>
              </w:rPr>
            </w:pPr>
            <w:r>
              <w:rPr>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sz w:val="20"/>
              </w:rPr>
            </w:pPr>
            <w:r>
              <w:rPr>
                <w:sz w:val="20"/>
              </w:rPr>
              <w:t>473</w:t>
            </w:r>
          </w:p>
        </w:tc>
        <w:tc>
          <w:tcPr>
            <w:tcW w:w="75" w:type="dxa"/>
            <w:tcBorders/>
            <w:shd w:fill="CCEEFF" w:val="clear"/>
            <w:vAlign w:val="center"/>
          </w:tcPr>
          <w:p>
            <w:pPr>
              <w:pStyle w:val="TableContents"/>
              <w:bidi w:val="0"/>
              <w:spacing w:before="0" w:after="283"/>
              <w:jc w:val="left"/>
              <w:rPr/>
            </w:pPr>
            <w:r>
              <w:rPr/>
              <w:t> </w:t>
            </w:r>
            <w:bookmarkStart w:id="584" w:name="xdx_405_ecustom--ReversalOfAllowanceForI"/>
            <w:bookmarkEnd w:id="584"/>
          </w:p>
        </w:tc>
      </w:tr>
      <w:tr>
        <w:trPr/>
        <w:tc>
          <w:tcPr>
            <w:tcW w:w="4190" w:type="dxa"/>
            <w:tcBorders/>
            <w:shd w:fill="FFFFFF" w:val="clear"/>
            <w:vAlign w:val="center"/>
          </w:tcPr>
          <w:p>
            <w:pPr>
              <w:pStyle w:val="TableContents"/>
              <w:bidi w:val="0"/>
              <w:spacing w:before="0" w:after="283"/>
              <w:jc w:val="left"/>
              <w:rPr>
                <w:sz w:val="20"/>
              </w:rPr>
            </w:pPr>
            <w:r>
              <w:rPr>
                <w:sz w:val="20"/>
              </w:rPr>
              <w:t>Reversal of inventories obsolescence</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bookmarkStart w:id="585" w:name="xdx_40A_eus-gaap--InventoryValuationRese"/>
            <w:bookmarkEnd w:id="585"/>
          </w:p>
        </w:tc>
      </w:tr>
      <w:tr>
        <w:trPr/>
        <w:tc>
          <w:tcPr>
            <w:tcW w:w="4190" w:type="dxa"/>
            <w:tcBorders/>
            <w:shd w:fill="CCEEFF" w:val="clear"/>
            <w:vAlign w:val="center"/>
          </w:tcPr>
          <w:p>
            <w:pPr>
              <w:pStyle w:val="TableContents"/>
              <w:bidi w:val="0"/>
              <w:spacing w:before="0" w:after="283"/>
              <w:jc w:val="left"/>
              <w:rPr>
                <w:sz w:val="20"/>
              </w:rPr>
            </w:pPr>
            <w:r>
              <w:rPr>
                <w:sz w:val="20"/>
              </w:rPr>
              <w:t>Allowance for inventories obsolescence, ending</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473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86" w:name="xdx_8A0_zr19Kfp3u7ea"/>
      <w:bookmarkEnd w:id="5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7" w:name="xdx_80B_eus-gaap--OtherCurrentAssetsText"/>
      <w:bookmarkEnd w:id="587"/>
      <w:r>
        <w:rPr>
          <w:rFonts w:ascii="Times New Roman;Times;Serif" w:hAnsi="Times New Roman;Times;Serif"/>
          <w:b/>
          <w:i w:val="false"/>
          <w:caps w:val="false"/>
          <w:smallCaps w:val="false"/>
          <w:sz w:val="20"/>
        </w:rPr>
        <w:t xml:space="preserve">NOTE – 6 </w:t>
      </w:r>
      <w:bookmarkStart w:id="588" w:name="xdx_820_zSekINGw8Qti"/>
      <w:bookmarkEnd w:id="588"/>
      <w:r>
        <w:rPr>
          <w:rFonts w:ascii="Times New Roman;Times;Serif" w:hAnsi="Times New Roman;Times;Serif"/>
          <w:b/>
          <w:i w:val="false"/>
          <w:caps w:val="false"/>
          <w:smallCaps w:val="false"/>
          <w:sz w:val="20"/>
        </w:rPr>
        <w:t>DEPOSITS, PREPAYMENTS AND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89" w:name="xdx_893_eus-gaap--ScheduleOfOtherCurrent"/>
      <w:bookmarkEnd w:id="589"/>
      <w:r>
        <w:rPr>
          <w:caps w:val="false"/>
          <w:smallCaps w:val="false"/>
        </w:rPr>
        <w:t> </w:t>
      </w:r>
      <w:bookmarkStart w:id="590" w:name="xdx_8B3_z2yPBTiKLQz5"/>
      <w:bookmarkEnd w:id="590"/>
      <w:r>
        <w:rPr>
          <w:rFonts w:ascii="Times New Roman;Times;Serif" w:hAnsi="Times New Roman;Times;Serif"/>
          <w:b w:val="false"/>
          <w:i w:val="false"/>
          <w:caps w:val="false"/>
          <w:smallCaps w:val="false"/>
          <w:sz w:val="20"/>
        </w:rPr>
        <w:t>SCHEDULE OF DEPOSITS, PREPAYMENTS AND OTHER RECEIVABLES</w:t>
      </w:r>
    </w:p>
    <w:tbl>
      <w:tblPr>
        <w:tblW w:w="6088" w:type="dxa"/>
        <w:jc w:val="left"/>
        <w:tblInd w:w="0" w:type="dxa"/>
        <w:tblLayout w:type="fixed"/>
        <w:tblCellMar>
          <w:top w:w="0" w:type="dxa"/>
          <w:left w:w="0" w:type="dxa"/>
          <w:bottom w:w="0" w:type="dxa"/>
          <w:right w:w="0" w:type="dxa"/>
        </w:tblCellMar>
      </w:tblPr>
      <w:tblGrid>
        <w:gridCol w:w="3635"/>
        <w:gridCol w:w="60"/>
        <w:gridCol w:w="99"/>
        <w:gridCol w:w="1000"/>
        <w:gridCol w:w="60"/>
        <w:gridCol w:w="60"/>
        <w:gridCol w:w="99"/>
        <w:gridCol w:w="1000"/>
        <w:gridCol w:w="75"/>
      </w:tblGrid>
      <w:tr>
        <w:trPr/>
        <w:tc>
          <w:tcPr>
            <w:tcW w:w="3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91" w:name="xdx_49B_20241231_zgODe5a3FhLj"/>
            <w:bookmarkEnd w:id="591"/>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92" w:name="xdx_495_20251231_zcexan7BmDYl"/>
            <w:bookmarkEnd w:id="592"/>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3" w:name="xdx_40F_eus-gaap--DepositsAssetsCurrent_"/>
            <w:bookmarkEnd w:id="593"/>
          </w:p>
        </w:tc>
      </w:tr>
      <w:tr>
        <w:trPr/>
        <w:tc>
          <w:tcPr>
            <w:tcW w:w="36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4" w:name="xdx_406_eus-gaap--OtherPrepaidExpenseCur"/>
            <w:bookmarkEnd w:id="594"/>
          </w:p>
        </w:tc>
      </w:tr>
      <w:tr>
        <w:trPr/>
        <w:tc>
          <w:tcPr>
            <w:tcW w:w="36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5" w:name="xdx_40C_eus-gaap--Supplies_iI_pn3n3_maPE"/>
            <w:bookmarkEnd w:id="595"/>
          </w:p>
        </w:tc>
      </w:tr>
      <w:tr>
        <w:trPr/>
        <w:tc>
          <w:tcPr>
            <w:tcW w:w="36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w:t>
            </w:r>
            <w:bookmarkStart w:id="596" w:name="xdx_F40_z7ohF2PlS8Ce"/>
            <w:bookmarkEnd w:id="596"/>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7" w:name="xdx_40F_ecustom--LeaseReceivables_iI_pn3"/>
            <w:bookmarkEnd w:id="597"/>
          </w:p>
        </w:tc>
      </w:tr>
      <w:tr>
        <w:trPr/>
        <w:tc>
          <w:tcPr>
            <w:tcW w:w="36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receivables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8" w:name="xdx_40D_ecustom--GoodsAndServicesTaxRece"/>
            <w:bookmarkEnd w:id="598"/>
          </w:p>
        </w:tc>
      </w:tr>
      <w:tr>
        <w:trPr/>
        <w:tc>
          <w:tcPr>
            <w:tcW w:w="36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Goods and services tax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9" w:name="xdx_40B_eus-gaap--OtherAssetsCurrent_iI_"/>
            <w:bookmarkEnd w:id="599"/>
          </w:p>
        </w:tc>
      </w:tr>
      <w:tr>
        <w:trPr/>
        <w:tc>
          <w:tcPr>
            <w:tcW w:w="36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0" w:name="xdx_404_eus-gaap--PrepaidExpenseAndOther"/>
            <w:bookmarkEnd w:id="600"/>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prepayments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1" w:name="xdx_401_ecustom--OtherReceivable_iI_pn3n"/>
            <w:bookmarkEnd w:id="601"/>
          </w:p>
        </w:tc>
      </w:tr>
      <w:tr>
        <w:trPr/>
        <w:tc>
          <w:tcPr>
            <w:tcW w:w="36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receivables –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55"/>
        <w:gridCol w:w="5000"/>
      </w:tblGrid>
      <w:tr>
        <w:trPr/>
        <w:tc>
          <w:tcPr>
            <w:tcW w:w="155" w:type="dxa"/>
            <w:tcBorders/>
            <w:vAlign w:val="center"/>
          </w:tcPr>
          <w:p>
            <w:pPr>
              <w:pStyle w:val="TableContents"/>
              <w:bidi w:val="0"/>
              <w:spacing w:before="0" w:after="283"/>
              <w:jc w:val="right"/>
              <w:rPr/>
            </w:pPr>
            <w:bookmarkStart w:id="602" w:name="xdx_F0D_zonortraAOFk"/>
            <w:bookmarkEnd w:id="602"/>
            <w:r>
              <w:rPr/>
              <w:t>*</w:t>
            </w:r>
            <w:bookmarkStart w:id="603" w:name="xdx_F1C_zqIeyPFXi4Tf"/>
            <w:bookmarkEnd w:id="603"/>
          </w:p>
        </w:tc>
        <w:tc>
          <w:tcPr>
            <w:tcW w:w="5000" w:type="dxa"/>
            <w:tcBorders/>
            <w:vAlign w:val="center"/>
          </w:tcPr>
          <w:p>
            <w:pPr>
              <w:pStyle w:val="TableContents"/>
              <w:bidi w:val="0"/>
              <w:spacing w:before="0" w:after="283"/>
              <w:jc w:val="both"/>
              <w:rPr/>
            </w:pPr>
            <w:r>
              <w:rPr/>
              <w:t>Advance to suppliers was related to purchase orders.</w:t>
            </w:r>
          </w:p>
        </w:tc>
      </w:tr>
    </w:tbl>
    <w:p>
      <w:pPr>
        <w:pStyle w:val="TextBody"/>
        <w:bidi w:val="0"/>
        <w:spacing w:before="0" w:after="283"/>
        <w:jc w:val="left"/>
        <w:rPr/>
      </w:pPr>
      <w:bookmarkStart w:id="604" w:name="xdx_8AF_zka3jqtarnik"/>
      <w:bookmarkEnd w:id="604"/>
      <w:r>
        <w:rPr/>
        <w:t> </w:t>
      </w:r>
    </w:p>
    <w:p>
      <w:pPr>
        <w:pStyle w:val="TextBody"/>
        <w:bidi w:val="0"/>
        <w:jc w:val="left"/>
        <w:rPr>
          <w:u w:val="single"/>
        </w:rPr>
      </w:pPr>
      <w:r>
        <w:rPr>
          <w:u w:val="single"/>
        </w:rPr>
        <w:t>Lessor activities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leasing activities consist primarily of leasing of equipment under direct financing leases expiring over the next two to three years. The Company’s lease customers are primarily small to midsize businesses located generally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an arrangement is a lease is made at the lease’s inception. Under ASC Topic 842, a contract is a lease if it conveys the right to control the use of an identified asset for a period of time in exchange for consideration. The Company reassesses the determination of whether an arrangement is a lease if the terms and conditions of the contract are changed. At the lease’s inception, the Company also estimates the residual value expected from the leased asset at the end of the lease term based on expected useful lives of equipment and expected market conditions for the customer base.</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5" w:name="xdx_897_eus-gaap--DirectFinancingLeaseLe"/>
      <w:bookmarkEnd w:id="605"/>
      <w:r>
        <w:rPr>
          <w:rFonts w:ascii="Times New Roman;Times;Serif" w:hAnsi="Times New Roman;Times;Serif"/>
          <w:b w:val="false"/>
          <w:i w:val="false"/>
          <w:caps w:val="false"/>
          <w:smallCaps w:val="false"/>
          <w:sz w:val="20"/>
        </w:rPr>
        <w:t>Details of the Company’s lease income from direct financing leases for the years ended December 31, 2023, 2024 and 2025 as follows:</w:t>
      </w:r>
    </w:p>
    <w:p>
      <w:pPr>
        <w:pStyle w:val="TextBody"/>
        <w:bidi w:val="0"/>
        <w:jc w:val="left"/>
        <w:rPr>
          <w:rFonts w:ascii="Times New Roman;Times;Serif" w:hAnsi="Times New Roman;Times;Serif"/>
          <w:b w:val="false"/>
          <w:i w:val="false"/>
          <w:caps w:val="false"/>
          <w:smallCaps w:val="false"/>
          <w:sz w:val="20"/>
        </w:rPr>
      </w:pPr>
      <w:bookmarkStart w:id="606" w:name="xdx_8BB_zIYmCFKHNr8e"/>
      <w:bookmarkEnd w:id="606"/>
      <w:r>
        <w:rPr>
          <w:rFonts w:ascii="Times New Roman;Times;Serif" w:hAnsi="Times New Roman;Times;Serif"/>
          <w:b w:val="false"/>
          <w:i w:val="false"/>
          <w:caps w:val="false"/>
          <w:smallCaps w:val="false"/>
          <w:sz w:val="20"/>
        </w:rPr>
        <w:t>SCHEDULE OF DIRECT FINANCING LEASE INCOME</w:t>
      </w:r>
    </w:p>
    <w:tbl>
      <w:tblPr>
        <w:tblW w:w="6617" w:type="dxa"/>
        <w:jc w:val="left"/>
        <w:tblInd w:w="0" w:type="dxa"/>
        <w:tblLayout w:type="fixed"/>
        <w:tblCellMar>
          <w:top w:w="0" w:type="dxa"/>
          <w:left w:w="0" w:type="dxa"/>
          <w:bottom w:w="0" w:type="dxa"/>
          <w:right w:w="0" w:type="dxa"/>
        </w:tblCellMar>
      </w:tblPr>
      <w:tblGrid>
        <w:gridCol w:w="2945"/>
        <w:gridCol w:w="60"/>
        <w:gridCol w:w="226"/>
        <w:gridCol w:w="873"/>
        <w:gridCol w:w="60"/>
        <w:gridCol w:w="60"/>
        <w:gridCol w:w="167"/>
        <w:gridCol w:w="932"/>
        <w:gridCol w:w="60"/>
        <w:gridCol w:w="60"/>
        <w:gridCol w:w="167"/>
        <w:gridCol w:w="932"/>
        <w:gridCol w:w="75"/>
      </w:tblGrid>
      <w:tr>
        <w:trPr/>
        <w:tc>
          <w:tcPr>
            <w:tcW w:w="29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07" w:name="xdx_49A_20230101__20231231_zZbckmCEh5I9"/>
            <w:bookmarkEnd w:id="607"/>
          </w:p>
        </w:tc>
        <w:tc>
          <w:tcPr>
            <w:tcW w:w="10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As of </w:t>
              <w:br/>
              <w:t>Dec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8" w:name="xdx_495_20240101__20241231_zO3ZMXSijYWb"/>
            <w:bookmarkEnd w:id="608"/>
          </w:p>
        </w:tc>
        <w:tc>
          <w:tcPr>
            <w:tcW w:w="10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As of </w:t>
              <w:br/>
              <w:t>Dec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9" w:name="xdx_496_20250101__20251231_z7FxviJrlgK3"/>
            <w:bookmarkEnd w:id="609"/>
          </w:p>
        </w:tc>
        <w:tc>
          <w:tcPr>
            <w:tcW w:w="10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As of </w:t>
              <w:br/>
              <w:t>Dec 31, 2025</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sz w:val="20"/>
              </w:rPr>
            </w:pPr>
            <w:r>
              <w:rPr>
                <w:sz w:val="20"/>
              </w:rPr>
              <w:t>S$’000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vAlign w:val="center"/>
          </w:tcPr>
          <w:p>
            <w:pPr>
              <w:pStyle w:val="TableContents"/>
              <w:bidi w:val="0"/>
              <w:spacing w:before="0" w:after="283"/>
              <w:jc w:val="center"/>
              <w:rPr>
                <w:sz w:val="20"/>
              </w:rPr>
            </w:pPr>
            <w:r>
              <w:rPr>
                <w:sz w:val="20"/>
              </w:rPr>
              <w:t>S$’000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vAlign w:val="center"/>
          </w:tcPr>
          <w:p>
            <w:pPr>
              <w:pStyle w:val="TableContents"/>
              <w:bidi w:val="0"/>
              <w:spacing w:before="0" w:after="283"/>
              <w:jc w:val="center"/>
              <w:rPr>
                <w:sz w:val="20"/>
              </w:rPr>
            </w:pPr>
            <w:r>
              <w:rPr>
                <w:sz w:val="20"/>
              </w:rPr>
              <w:t>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610" w:name="xdx_40D_ecustom--ProfitAtLeaseCommenceme"/>
            <w:bookmarkEnd w:id="610"/>
          </w:p>
        </w:tc>
      </w:tr>
      <w:tr>
        <w:trPr/>
        <w:tc>
          <w:tcPr>
            <w:tcW w:w="2945" w:type="dxa"/>
            <w:tcBorders/>
            <w:shd w:fill="CCEEFF" w:val="clear"/>
            <w:vAlign w:val="center"/>
          </w:tcPr>
          <w:p>
            <w:pPr>
              <w:pStyle w:val="TableContents"/>
              <w:bidi w:val="0"/>
              <w:spacing w:before="0" w:after="283"/>
              <w:jc w:val="both"/>
              <w:rPr>
                <w:sz w:val="20"/>
              </w:rPr>
            </w:pPr>
            <w:r>
              <w:rPr>
                <w:sz w:val="20"/>
              </w:rPr>
              <w:t>Profit at lease commencement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20"/>
              </w:rPr>
            </w:pPr>
            <w:r>
              <w:rPr>
                <w:sz w:val="20"/>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sz w:val="20"/>
              </w:rPr>
            </w:pPr>
            <w:r>
              <w:rPr>
                <w:sz w:val="20"/>
              </w:rPr>
              <w:t>286</w:t>
            </w:r>
          </w:p>
        </w:tc>
        <w:tc>
          <w:tcPr>
            <w:tcW w:w="75" w:type="dxa"/>
            <w:tcBorders/>
            <w:shd w:fill="CCEEFF" w:val="clear"/>
            <w:vAlign w:val="center"/>
          </w:tcPr>
          <w:p>
            <w:pPr>
              <w:pStyle w:val="TableContents"/>
              <w:bidi w:val="0"/>
              <w:spacing w:before="0" w:after="283"/>
              <w:jc w:val="left"/>
              <w:rPr/>
            </w:pPr>
            <w:r>
              <w:rPr/>
              <w:t> </w:t>
            </w:r>
            <w:bookmarkStart w:id="611" w:name="xdx_407_eus-gaap--InterestIncomePurchase"/>
            <w:bookmarkEnd w:id="611"/>
          </w:p>
        </w:tc>
      </w:tr>
      <w:tr>
        <w:trPr/>
        <w:tc>
          <w:tcPr>
            <w:tcW w:w="2945" w:type="dxa"/>
            <w:tcBorders/>
            <w:shd w:fill="FFFFFF" w:val="clear"/>
            <w:vAlign w:val="center"/>
          </w:tcPr>
          <w:p>
            <w:pPr>
              <w:pStyle w:val="TableContents"/>
              <w:bidi w:val="0"/>
              <w:spacing w:before="0" w:after="283"/>
              <w:jc w:val="both"/>
              <w:rPr>
                <w:sz w:val="20"/>
              </w:rPr>
            </w:pPr>
            <w:r>
              <w:rPr>
                <w:sz w:val="20"/>
              </w:rPr>
              <w:t>Interest income on lease receivables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266</w:t>
            </w:r>
          </w:p>
        </w:tc>
        <w:tc>
          <w:tcPr>
            <w:tcW w:w="75" w:type="dxa"/>
            <w:tcBorders/>
            <w:shd w:fill="FFFFFF" w:val="clear"/>
            <w:vAlign w:val="center"/>
          </w:tcPr>
          <w:p>
            <w:pPr>
              <w:pStyle w:val="TableContents"/>
              <w:bidi w:val="0"/>
              <w:spacing w:before="0" w:after="283"/>
              <w:jc w:val="left"/>
              <w:rPr/>
            </w:pPr>
            <w:r>
              <w:rPr/>
              <w:t> </w:t>
            </w:r>
            <w:bookmarkStart w:id="612" w:name="xdx_402_eus-gaap--DirectFinancingLeaseLe"/>
            <w:bookmarkEnd w:id="612"/>
          </w:p>
        </w:tc>
      </w:tr>
      <w:tr>
        <w:trPr/>
        <w:tc>
          <w:tcPr>
            <w:tcW w:w="2945" w:type="dxa"/>
            <w:tcBorders/>
            <w:shd w:fill="CCEEFF" w:val="clear"/>
            <w:vAlign w:val="center"/>
          </w:tcPr>
          <w:p>
            <w:pPr>
              <w:pStyle w:val="TableContents"/>
              <w:bidi w:val="0"/>
              <w:spacing w:before="0" w:after="283"/>
              <w:jc w:val="both"/>
              <w:rPr>
                <w:sz w:val="20"/>
              </w:rPr>
            </w:pPr>
            <w:bookmarkStart w:id="613" w:name="xdx_90F_eus-gaap--DirectFinancingLeaseIn"/>
            <w:bookmarkStart w:id="614" w:name="xdx_909_eus-gaap--DirectFinancingLeaseIn"/>
            <w:bookmarkStart w:id="615" w:name="xdx_901_eus-gaap--DirectFinancingLeaseIn"/>
            <w:bookmarkEnd w:id="613"/>
            <w:bookmarkEnd w:id="614"/>
            <w:bookmarkEnd w:id="615"/>
            <w:r>
              <w:rPr>
                <w:sz w:val="20"/>
              </w:rPr>
              <w:t>Total lease income</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552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16" w:name="xdx_8A0_zyjYLTPo0ue9"/>
      <w:bookmarkEnd w:id="6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7" w:name="xdx_89B_ecustom--ScheduleOfDirectFinanci"/>
      <w:bookmarkEnd w:id="617"/>
      <w:r>
        <w:rPr>
          <w:rFonts w:ascii="Times New Roman;Times;Serif" w:hAnsi="Times New Roman;Times;Serif"/>
          <w:b w:val="false"/>
          <w:i w:val="false"/>
          <w:caps w:val="false"/>
          <w:smallCaps w:val="false"/>
          <w:sz w:val="20"/>
        </w:rPr>
        <w:t>Net investment in leases as of December 31, 2024 and 2025 were: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8" w:name="xdx_8B8_zKkLCiNCOfPe"/>
      <w:bookmarkEnd w:id="618"/>
      <w:r>
        <w:rPr>
          <w:rFonts w:ascii="Times New Roman;Times;Serif" w:hAnsi="Times New Roman;Times;Serif"/>
          <w:b w:val="false"/>
          <w:i w:val="false"/>
          <w:caps w:val="false"/>
          <w:smallCaps w:val="false"/>
          <w:sz w:val="20"/>
        </w:rPr>
        <w:t>SCHEDULE OF DIRECT FINANCING LEASE NET INVESTMENT IN LEASE</w:t>
      </w:r>
    </w:p>
    <w:tbl>
      <w:tblPr>
        <w:tblW w:w="6693" w:type="dxa"/>
        <w:jc w:val="left"/>
        <w:tblInd w:w="0" w:type="dxa"/>
        <w:tblLayout w:type="fixed"/>
        <w:tblCellMar>
          <w:top w:w="0" w:type="dxa"/>
          <w:left w:w="0" w:type="dxa"/>
          <w:bottom w:w="0" w:type="dxa"/>
          <w:right w:w="0" w:type="dxa"/>
        </w:tblCellMar>
      </w:tblPr>
      <w:tblGrid>
        <w:gridCol w:w="3785"/>
        <w:gridCol w:w="60"/>
        <w:gridCol w:w="126"/>
        <w:gridCol w:w="1183"/>
        <w:gridCol w:w="60"/>
        <w:gridCol w:w="60"/>
        <w:gridCol w:w="126"/>
        <w:gridCol w:w="1183"/>
        <w:gridCol w:w="110"/>
      </w:tblGrid>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19" w:name="xdx_497_20241231_zftsKXj2KkYe"/>
            <w:bookmarkEnd w:id="619"/>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0" w:name="xdx_49A_20251231_zqoMqfwUXyRi"/>
            <w:bookmarkEnd w:id="620"/>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2025</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621" w:name="xdx_400_eus-gaap--DirectFinancingLeaseLe"/>
            <w:bookmarkEnd w:id="621"/>
          </w:p>
        </w:tc>
      </w:tr>
      <w:tr>
        <w:trPr/>
        <w:tc>
          <w:tcPr>
            <w:tcW w:w="3785" w:type="dxa"/>
            <w:tcBorders/>
            <w:shd w:fill="CCEEFF" w:val="clear"/>
            <w:vAlign w:val="center"/>
          </w:tcPr>
          <w:p>
            <w:pPr>
              <w:pStyle w:val="TableContents"/>
              <w:bidi w:val="0"/>
              <w:spacing w:before="0" w:after="283"/>
              <w:jc w:val="both"/>
              <w:rPr/>
            </w:pPr>
            <w:r>
              <w:rPr/>
              <w:t>Lease receivable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1,271</w:t>
            </w:r>
          </w:p>
        </w:tc>
        <w:tc>
          <w:tcPr>
            <w:tcW w:w="110" w:type="dxa"/>
            <w:tcBorders/>
            <w:shd w:fill="CCEEFF" w:val="clear"/>
            <w:vAlign w:val="center"/>
          </w:tcPr>
          <w:p>
            <w:pPr>
              <w:pStyle w:val="TableContents"/>
              <w:bidi w:val="0"/>
              <w:spacing w:before="0" w:after="283"/>
              <w:jc w:val="left"/>
              <w:rPr/>
            </w:pPr>
            <w:r>
              <w:rPr/>
              <w:t> </w:t>
            </w:r>
            <w:bookmarkStart w:id="622" w:name="xdx_407_eus-gaap--DirectFinancingLeaseUn"/>
            <w:bookmarkEnd w:id="622"/>
          </w:p>
        </w:tc>
      </w:tr>
      <w:tr>
        <w:trPr/>
        <w:tc>
          <w:tcPr>
            <w:tcW w:w="3785" w:type="dxa"/>
            <w:tcBorders/>
            <w:shd w:fill="FFFFFF" w:val="clear"/>
            <w:vAlign w:val="center"/>
          </w:tcPr>
          <w:p>
            <w:pPr>
              <w:pStyle w:val="TableContents"/>
              <w:bidi w:val="0"/>
              <w:spacing w:before="0" w:after="283"/>
              <w:jc w:val="both"/>
              <w:rPr/>
            </w:pPr>
            <w:r>
              <w:rPr/>
              <w:t>Unguaranteed residual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 </w:t>
            </w:r>
            <w:bookmarkStart w:id="623" w:name="xdx_404_ecustom--DirectFinancingLeaseEar"/>
            <w:bookmarkEnd w:id="623"/>
          </w:p>
        </w:tc>
      </w:tr>
      <w:tr>
        <w:trPr/>
        <w:tc>
          <w:tcPr>
            <w:tcW w:w="3785" w:type="dxa"/>
            <w:tcBorders/>
            <w:shd w:fill="CCEEFF" w:val="clear"/>
            <w:vAlign w:val="center"/>
          </w:tcPr>
          <w:p>
            <w:pPr>
              <w:pStyle w:val="TableContents"/>
              <w:bidi w:val="0"/>
              <w:spacing w:before="0" w:after="283"/>
              <w:jc w:val="both"/>
              <w:rPr/>
            </w:pPr>
            <w:r>
              <w:rPr/>
              <w:t>Early settlement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bookmarkStart w:id="624" w:name="xdx_407_ecustom--DirectFinancingLeasesNe"/>
            <w:bookmarkEnd w:id="624"/>
          </w:p>
        </w:tc>
      </w:tr>
      <w:tr>
        <w:trPr/>
        <w:tc>
          <w:tcPr>
            <w:tcW w:w="3785" w:type="dxa"/>
            <w:tcBorders/>
            <w:shd w:fill="FFFFFF" w:val="clear"/>
            <w:vAlign w:val="center"/>
          </w:tcPr>
          <w:p>
            <w:pPr>
              <w:pStyle w:val="TableContents"/>
              <w:bidi w:val="0"/>
              <w:spacing w:before="0" w:after="283"/>
              <w:jc w:val="both"/>
              <w:rPr/>
            </w:pPr>
            <w:r>
              <w:rPr/>
              <w:t>Net investment – direct financing leases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1,001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1,560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5" w:name="xdx_8AE_ztam41p8tgWk"/>
      <w:bookmarkEnd w:id="6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6" w:name="xdx_891_ecustom--SummaryOfMaturityOfLeas"/>
      <w:bookmarkEnd w:id="626"/>
      <w:r>
        <w:rPr>
          <w:rFonts w:ascii="Times New Roman;Times;Serif" w:hAnsi="Times New Roman;Times;Serif"/>
          <w:b w:val="false"/>
          <w:i w:val="false"/>
          <w:caps w:val="false"/>
          <w:smallCaps w:val="false"/>
          <w:sz w:val="20"/>
        </w:rPr>
        <w:t>The maturity of lease receivables as of December 31, 2025 is as follows:</w:t>
      </w:r>
    </w:p>
    <w:p>
      <w:pPr>
        <w:pStyle w:val="TextBody"/>
        <w:bidi w:val="0"/>
        <w:spacing w:before="0" w:after="283"/>
        <w:jc w:val="left"/>
        <w:rPr/>
      </w:pPr>
      <w:bookmarkStart w:id="627" w:name="xdx_8B8_zzYStCFA57Yb"/>
      <w:bookmarkEnd w:id="627"/>
      <w:r>
        <w:rPr/>
        <w:t>SUMMARY OF MATURITY OF LEASE RECEIVABLES</w:t>
      </w:r>
    </w:p>
    <w:tbl>
      <w:tblPr>
        <w:tblW w:w="6494" w:type="dxa"/>
        <w:jc w:val="left"/>
        <w:tblInd w:w="0" w:type="dxa"/>
        <w:tblLayout w:type="fixed"/>
        <w:tblCellMar>
          <w:top w:w="0" w:type="dxa"/>
          <w:left w:w="0" w:type="dxa"/>
          <w:bottom w:w="0" w:type="dxa"/>
          <w:right w:w="0" w:type="dxa"/>
        </w:tblCellMar>
      </w:tblPr>
      <w:tblGrid>
        <w:gridCol w:w="5015"/>
        <w:gridCol w:w="60"/>
        <w:gridCol w:w="113"/>
        <w:gridCol w:w="1196"/>
        <w:gridCol w:w="110"/>
      </w:tblGrid>
      <w:tr>
        <w:trPr/>
        <w:tc>
          <w:tcPr>
            <w:tcW w:w="5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28" w:name="xdx_49A_20251231_z2rw7RgJvPg4"/>
            <w:bookmarkEnd w:id="628"/>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 31, 2025</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S$’000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629" w:name="xdx_400_ecustom--FinanceLeaseReceivables"/>
            <w:bookmarkEnd w:id="629"/>
          </w:p>
        </w:tc>
      </w:tr>
      <w:tr>
        <w:trPr/>
        <w:tc>
          <w:tcPr>
            <w:tcW w:w="5015" w:type="dxa"/>
            <w:tcBorders/>
            <w:shd w:fill="CCEEFF" w:val="clear"/>
            <w:vAlign w:val="center"/>
          </w:tcPr>
          <w:p>
            <w:pPr>
              <w:pStyle w:val="TableContents"/>
              <w:bidi w:val="0"/>
              <w:spacing w:before="0" w:after="283"/>
              <w:jc w:val="both"/>
              <w:rPr/>
            </w:pPr>
            <w:r>
              <w:rPr/>
              <w:t>Not later than one year</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1,428</w:t>
            </w:r>
          </w:p>
        </w:tc>
        <w:tc>
          <w:tcPr>
            <w:tcW w:w="110" w:type="dxa"/>
            <w:tcBorders/>
            <w:shd w:fill="CCEEFF" w:val="clear"/>
            <w:vAlign w:val="center"/>
          </w:tcPr>
          <w:p>
            <w:pPr>
              <w:pStyle w:val="TableContents"/>
              <w:bidi w:val="0"/>
              <w:spacing w:before="0" w:after="283"/>
              <w:jc w:val="left"/>
              <w:rPr/>
            </w:pPr>
            <w:r>
              <w:rPr/>
              <w:t> </w:t>
            </w:r>
            <w:bookmarkStart w:id="630" w:name="xdx_404_ecustom--FinanceLeaseReceivables"/>
            <w:bookmarkEnd w:id="630"/>
          </w:p>
        </w:tc>
      </w:tr>
      <w:tr>
        <w:trPr/>
        <w:tc>
          <w:tcPr>
            <w:tcW w:w="5015" w:type="dxa"/>
            <w:tcBorders/>
            <w:shd w:fill="FFFFFF" w:val="clear"/>
            <w:vAlign w:val="center"/>
          </w:tcPr>
          <w:p>
            <w:pPr>
              <w:pStyle w:val="TableContents"/>
              <w:bidi w:val="0"/>
              <w:spacing w:before="0" w:after="283"/>
              <w:jc w:val="both"/>
              <w:rPr/>
            </w:pPr>
            <w:r>
              <w:rPr/>
              <w:t>Later than one year but not later than five years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110" w:type="dxa"/>
            <w:tcBorders/>
            <w:shd w:fill="FFFFFF" w:val="clear"/>
            <w:vAlign w:val="center"/>
          </w:tcPr>
          <w:p>
            <w:pPr>
              <w:pStyle w:val="TableContents"/>
              <w:bidi w:val="0"/>
              <w:spacing w:before="0" w:after="283"/>
              <w:jc w:val="left"/>
              <w:rPr/>
            </w:pPr>
            <w:r>
              <w:rPr/>
              <w:t> </w:t>
            </w:r>
            <w:bookmarkStart w:id="631" w:name="xdx_404_ecustom--FinanceLeaseReceivables"/>
            <w:bookmarkEnd w:id="631"/>
          </w:p>
        </w:tc>
      </w:tr>
      <w:tr>
        <w:trPr/>
        <w:tc>
          <w:tcPr>
            <w:tcW w:w="5015" w:type="dxa"/>
            <w:tcBorders/>
            <w:shd w:fill="CCEEFF" w:val="clear"/>
            <w:vAlign w:val="center"/>
          </w:tcPr>
          <w:p>
            <w:pPr>
              <w:pStyle w:val="TableContents"/>
              <w:bidi w:val="0"/>
              <w:spacing w:before="0" w:after="283"/>
              <w:jc w:val="both"/>
              <w:rPr/>
            </w:pPr>
            <w:r>
              <w:rPr/>
              <w:t>Gross investment in lease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1,753</w:t>
            </w:r>
          </w:p>
        </w:tc>
        <w:tc>
          <w:tcPr>
            <w:tcW w:w="110" w:type="dxa"/>
            <w:tcBorders/>
            <w:shd w:fill="CCEEFF" w:val="clear"/>
            <w:vAlign w:val="center"/>
          </w:tcPr>
          <w:p>
            <w:pPr>
              <w:pStyle w:val="TableContents"/>
              <w:bidi w:val="0"/>
              <w:spacing w:before="0" w:after="283"/>
              <w:jc w:val="left"/>
              <w:rPr/>
            </w:pPr>
            <w:r>
              <w:rPr/>
              <w:t> </w:t>
            </w:r>
            <w:bookmarkStart w:id="632" w:name="xdx_40A_ecustom--FinanceLeaseReceivables"/>
            <w:bookmarkEnd w:id="632"/>
          </w:p>
        </w:tc>
      </w:tr>
      <w:tr>
        <w:trPr/>
        <w:tc>
          <w:tcPr>
            <w:tcW w:w="5015" w:type="dxa"/>
            <w:tcBorders/>
            <w:shd w:fill="FFFFFF" w:val="clear"/>
            <w:vAlign w:val="center"/>
          </w:tcPr>
          <w:p>
            <w:pPr>
              <w:pStyle w:val="TableContents"/>
              <w:bidi w:val="0"/>
              <w:spacing w:before="0" w:after="283"/>
              <w:jc w:val="both"/>
              <w:rPr/>
            </w:pPr>
            <w:r>
              <w:rPr/>
              <w:t>Less: Unearned finance income</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pPr>
            <w:r>
              <w:rPr/>
              <w:t>(1,271</w:t>
            </w:r>
          </w:p>
        </w:tc>
        <w:tc>
          <w:tcPr>
            <w:tcW w:w="110" w:type="dxa"/>
            <w:tcBorders/>
            <w:shd w:fill="FFFFFF" w:val="clear"/>
            <w:vAlign w:val="center"/>
          </w:tcPr>
          <w:p>
            <w:pPr>
              <w:pStyle w:val="TableContents"/>
              <w:bidi w:val="0"/>
              <w:spacing w:before="0" w:after="283"/>
              <w:jc w:val="left"/>
              <w:rPr/>
            </w:pPr>
            <w:r>
              <w:rPr/>
              <w:t>)</w:t>
            </w:r>
            <w:bookmarkStart w:id="633" w:name="xdx_404_ecustom--FinanceLeaseReceivables"/>
            <w:bookmarkEnd w:id="633"/>
          </w:p>
        </w:tc>
      </w:tr>
      <w:tr>
        <w:trPr/>
        <w:tc>
          <w:tcPr>
            <w:tcW w:w="5015" w:type="dxa"/>
            <w:tcBorders/>
            <w:shd w:fill="CCEEFF" w:val="clear"/>
            <w:vAlign w:val="center"/>
          </w:tcPr>
          <w:p>
            <w:pPr>
              <w:pStyle w:val="TableContents"/>
              <w:bidi w:val="0"/>
              <w:spacing w:before="0" w:after="283"/>
              <w:jc w:val="both"/>
              <w:rPr/>
            </w:pPr>
            <w:r>
              <w:rPr/>
              <w:t>Present value of minimum lease payment receivables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482</w:t>
            </w:r>
          </w:p>
        </w:tc>
        <w:tc>
          <w:tcPr>
            <w:tcW w:w="110" w:type="dxa"/>
            <w:tcBorders/>
            <w:shd w:fill="CCEEFF" w:val="clear"/>
            <w:vAlign w:val="center"/>
          </w:tcPr>
          <w:p>
            <w:pPr>
              <w:pStyle w:val="TableContents"/>
              <w:bidi w:val="0"/>
              <w:spacing w:before="0" w:after="283"/>
              <w:jc w:val="left"/>
              <w:rPr/>
            </w:pPr>
            <w:r>
              <w:rPr/>
              <w:t> </w:t>
            </w:r>
            <w:bookmarkStart w:id="634" w:name="xdx_406_ecustom--FinanceLeaseReceivables"/>
            <w:bookmarkEnd w:id="634"/>
          </w:p>
        </w:tc>
      </w:tr>
      <w:tr>
        <w:trPr/>
        <w:tc>
          <w:tcPr>
            <w:tcW w:w="5015" w:type="dxa"/>
            <w:tcBorders/>
            <w:shd w:fill="FFFFFF" w:val="clear"/>
            <w:vAlign w:val="center"/>
          </w:tcPr>
          <w:p>
            <w:pPr>
              <w:pStyle w:val="TableContents"/>
              <w:bidi w:val="0"/>
              <w:spacing w:before="0" w:after="283"/>
              <w:jc w:val="both"/>
              <w:rPr/>
            </w:pPr>
            <w:r>
              <w:rPr/>
              <w:t>Non-current finance lease receivables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304</w:t>
            </w:r>
          </w:p>
        </w:tc>
        <w:tc>
          <w:tcPr>
            <w:tcW w:w="110" w:type="dxa"/>
            <w:tcBorders/>
            <w:shd w:fill="FFFFFF" w:val="clear"/>
            <w:vAlign w:val="center"/>
          </w:tcPr>
          <w:p>
            <w:pPr>
              <w:pStyle w:val="TableContents"/>
              <w:bidi w:val="0"/>
              <w:spacing w:before="0" w:after="283"/>
              <w:jc w:val="left"/>
              <w:rPr/>
            </w:pPr>
            <w:r>
              <w:rPr/>
              <w:t> </w:t>
            </w:r>
            <w:bookmarkStart w:id="635" w:name="xdx_400_ecustom--FinanceLeaseReceivables"/>
            <w:bookmarkEnd w:id="635"/>
          </w:p>
        </w:tc>
      </w:tr>
      <w:tr>
        <w:trPr/>
        <w:tc>
          <w:tcPr>
            <w:tcW w:w="5015" w:type="dxa"/>
            <w:tcBorders/>
            <w:shd w:fill="CCEEFF" w:val="clear"/>
            <w:vAlign w:val="center"/>
          </w:tcPr>
          <w:p>
            <w:pPr>
              <w:pStyle w:val="TableContents"/>
              <w:bidi w:val="0"/>
              <w:spacing w:before="0" w:after="283"/>
              <w:jc w:val="both"/>
              <w:rPr/>
            </w:pPr>
            <w:r>
              <w:rPr/>
              <w:t>Current finance lease receivables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967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36" w:name="xdx_8A1_z8DqlTAFzWSg"/>
      <w:bookmarkEnd w:id="636"/>
      <w:r>
        <w:rPr>
          <w:caps w:val="false"/>
          <w:smallCaps w:val="false"/>
        </w:rPr>
        <w:t> </w:t>
      </w:r>
    </w:p>
    <w:p>
      <w:pPr>
        <w:pStyle w:val="TextBody"/>
        <w:bidi w:val="0"/>
        <w:spacing w:before="0" w:after="0"/>
        <w:ind w:left="0" w:right="0" w:hanging="0"/>
        <w:jc w:val="both"/>
        <w:rPr>
          <w:caps w:val="false"/>
          <w:smallCaps w:val="false"/>
        </w:rPr>
      </w:pPr>
      <w:bookmarkStart w:id="637" w:name="xdx_806_eus-gaap--PropertyPlantAndEquipm"/>
      <w:bookmarkEnd w:id="637"/>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7 </w:t>
      </w:r>
      <w:bookmarkStart w:id="638" w:name="xdx_82E_zvVp9EoleXR"/>
      <w:bookmarkEnd w:id="638"/>
      <w:r>
        <w:rPr>
          <w:rFonts w:ascii="Times New Roman;Times;Serif" w:hAnsi="Times New Roman;Times;Serif"/>
          <w:b/>
          <w:i w:val="false"/>
          <w:caps w:val="false"/>
          <w:smallCaps w:val="false"/>
          <w:sz w:val="20"/>
        </w:rPr>
        <w:t>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9" w:name="xdx_897_eus-gaap--PropertyPlantAndEquipm"/>
      <w:bookmarkEnd w:id="639"/>
      <w:r>
        <w:rPr>
          <w:rFonts w:ascii="Times New Roman;Times;Serif" w:hAnsi="Times New Roman;Times;Serif"/>
          <w:b w:val="false"/>
          <w:i w:val="false"/>
          <w:caps w:val="false"/>
          <w:smallCaps w:val="false"/>
          <w:sz w:val="20"/>
        </w:rPr>
        <w:t>Plant and equipment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640" w:name="xdx_8BA_zOnekEtYzCr3"/>
      <w:bookmarkEnd w:id="640"/>
      <w:r>
        <w:rPr>
          <w:rFonts w:ascii="Times New Roman;Times;Serif" w:hAnsi="Times New Roman;Times;Serif"/>
          <w:b w:val="false"/>
          <w:i w:val="false"/>
          <w:caps w:val="false"/>
          <w:smallCaps w:val="false"/>
          <w:sz w:val="20"/>
        </w:rPr>
        <w:t>SCHEDULE OF PROPERTY AND EQUIPMENT, NET</w:t>
      </w:r>
    </w:p>
    <w:tbl>
      <w:tblPr>
        <w:tblW w:w="5138" w:type="dxa"/>
        <w:jc w:val="left"/>
        <w:tblInd w:w="0" w:type="dxa"/>
        <w:tblLayout w:type="fixed"/>
        <w:tblCellMar>
          <w:top w:w="0" w:type="dxa"/>
          <w:left w:w="0" w:type="dxa"/>
          <w:bottom w:w="0" w:type="dxa"/>
          <w:right w:w="0" w:type="dxa"/>
        </w:tblCellMar>
      </w:tblPr>
      <w:tblGrid>
        <w:gridCol w:w="2645"/>
        <w:gridCol w:w="60"/>
        <w:gridCol w:w="101"/>
        <w:gridCol w:w="998"/>
        <w:gridCol w:w="80"/>
        <w:gridCol w:w="60"/>
        <w:gridCol w:w="92"/>
        <w:gridCol w:w="1007"/>
        <w:gridCol w:w="95"/>
      </w:tblGrid>
      <w:tr>
        <w:trPr/>
        <w:tc>
          <w:tcPr>
            <w:tcW w:w="2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641" w:name="xdx_494_20241231_z4jBOcdKL4m1"/>
            <w:bookmarkEnd w:id="641"/>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642" w:name="xdx_49F_20251231_zgDdx5TJ7mJe"/>
            <w:bookmarkEnd w:id="642"/>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cost: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643" w:name="xdx_405_eus-gaap--PropertyPlantAndEquipm"/>
            <w:bookmarkEnd w:id="643"/>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9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644" w:name="xdx_406_eus-gaap--PropertyPlantAndEquipm"/>
            <w:bookmarkEnd w:id="644"/>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37,185</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42,098</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645" w:name="xdx_40A_eus-gaap--PropertyPlantAndEquipm"/>
            <w:bookmarkEnd w:id="645"/>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 vehicles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w:t>
            </w:r>
          </w:p>
        </w:tc>
        <w:tc>
          <w:tcPr>
            <w:tcW w:w="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646" w:name="xdx_40C_eus-gaap--PropertyPlantAndEquipm"/>
            <w:bookmarkEnd w:id="646"/>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gross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38,119</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43,375</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647" w:name="xdx_409_eus-gaap--AccumulatedDepreciatio"/>
            <w:bookmarkEnd w:id="647"/>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(7,886</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(10,238</w:t>
            </w:r>
          </w:p>
        </w:tc>
        <w:tc>
          <w:tcPr>
            <w:tcW w:w="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8" w:name="xdx_400_eus-gaap--PropertyPlantAndEquipm"/>
            <w:bookmarkEnd w:id="648"/>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30,233</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33,137</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49" w:name="xdx_8A1_zvkOv33jNEF4"/>
      <w:bookmarkEnd w:id="6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2023, 2024 and 2025 were S$</w:t>
      </w:r>
      <w:bookmarkStart w:id="650" w:name="xdx_904_eus-gaap--DepreciationNonproduct"/>
      <w:bookmarkEnd w:id="650"/>
      <w:r>
        <w:rPr>
          <w:rFonts w:ascii="Times New Roman;Times;Serif" w:hAnsi="Times New Roman;Times;Serif"/>
          <w:b w:val="false"/>
          <w:i w:val="false"/>
          <w:caps w:val="false"/>
          <w:smallCaps w:val="false"/>
          <w:sz w:val="20"/>
        </w:rPr>
        <w:t>3.7 million, S$</w:t>
      </w:r>
      <w:bookmarkStart w:id="651" w:name="xdx_907_eus-gaap--DepreciationNonproduct"/>
      <w:bookmarkEnd w:id="651"/>
      <w:r>
        <w:rPr>
          <w:rFonts w:ascii="Times New Roman;Times;Serif" w:hAnsi="Times New Roman;Times;Serif"/>
          <w:b w:val="false"/>
          <w:i w:val="false"/>
          <w:caps w:val="false"/>
          <w:smallCaps w:val="false"/>
          <w:sz w:val="20"/>
        </w:rPr>
        <w:t>4.2 million and S$</w:t>
      </w:r>
      <w:bookmarkStart w:id="652" w:name="xdx_907_eus-gaap--DepreciationNonproduct"/>
      <w:bookmarkEnd w:id="652"/>
      <w:r>
        <w:rPr>
          <w:rFonts w:ascii="Times New Roman;Times;Serif" w:hAnsi="Times New Roman;Times;Serif"/>
          <w:b w:val="false"/>
          <w:i w:val="false"/>
          <w:caps w:val="false"/>
          <w:smallCaps w:val="false"/>
          <w:sz w:val="20"/>
        </w:rPr>
        <w:t>4.7 million (US$</w:t>
      </w:r>
      <w:bookmarkStart w:id="653" w:name="xdx_900_eus-gaap--DepreciationNonproduct"/>
      <w:bookmarkEnd w:id="653"/>
      <w:r>
        <w:rPr>
          <w:rFonts w:ascii="Times New Roman;Times;Serif" w:hAnsi="Times New Roman;Times;Serif"/>
          <w:b w:val="false"/>
          <w:i w:val="false"/>
          <w:caps w:val="false"/>
          <w:smallCaps w:val="false"/>
          <w:sz w:val="20"/>
        </w:rPr>
        <w:t>3.7 million), respectively.</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54" w:name="xdx_800_eus-gaap--OtherAssetsDisclosureT"/>
      <w:bookmarkEnd w:id="654"/>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8 </w:t>
      </w:r>
      <w:bookmarkStart w:id="655" w:name="xdx_82D_zrB8zqFNF3Gk"/>
      <w:bookmarkEnd w:id="655"/>
      <w:r>
        <w:rPr>
          <w:rFonts w:ascii="Times New Roman;Times;Serif" w:hAnsi="Times New Roman;Times;Serif"/>
          <w:b/>
          <w:i w:val="false"/>
          <w:caps w:val="false"/>
          <w:smallCaps w:val="false"/>
          <w:sz w:val="20"/>
        </w:rPr>
        <w:t>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No. 2016-02 Leases, on January 1, 2019, the beginning of the fiscal 2019, using the modified retrospective approach. The Company determines whether an arrangement is a lease at inception. This determination generally depends on whether the arrangement conveys the right to control the use of an identified fixed asset explicitly or implicitly for a period of time in exchange for consideration. Control of an underlying asset is conveyed if we obtain the rights to direct the use of and to obtain substantially all of the economic benefit from the use of the underlying asset. Some of our leases include both lease and non-lease components which are accounted for as a single lease component as the Company has elected the practical expedient. Some of the operating lease agreements include variable lease costs, primarily taxes, insurance, common area maintenance or increases in rental costs related to inflation. Substantially all of our equipment leases and some of our real estate leases have terms of less than one year and, as such, are accounted for as short-term leases as we have elected the practical expedient.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the right-of-use lease assets, current lease liabilities and long-term lease liabilities on the Consolidated Balance Sheet. Right-of-use assets and lease liabilities are recognized at each lease’s commencement date based on the present values of its lease payments over its respective lease term. When a borrowing rate is not explicitly available for a lease, the incremental borrowing rate is used based on information available at the lease’s commencement date to determine the present value of its lease payments. Operating lease payments are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adopts </w:t>
      </w:r>
      <w:bookmarkStart w:id="656" w:name="xdx_900_ecustom--OperatingLeaseWeightedA"/>
      <w:bookmarkEnd w:id="656"/>
      <w:r>
        <w:rPr>
          <w:rFonts w:ascii="Times New Roman;Times;Serif" w:hAnsi="Times New Roman;Times;Serif"/>
          <w:b w:val="false"/>
          <w:i w:val="false"/>
          <w:caps w:val="false"/>
          <w:smallCaps w:val="false"/>
          <w:sz w:val="20"/>
        </w:rPr>
        <w:t xml:space="preserve">5.00% as weighted average incremental borrowing rate to determine the present value of the lease payments. The weighted average remaining life of the lease for office equipment and leasehold building was </w:t>
      </w:r>
      <w:bookmarkStart w:id="657" w:name="xdx_90F_eus-gaap--OperatingLeaseWeighted"/>
      <w:bookmarkStart w:id="658" w:name="xdx_903_eus-gaap--OperatingLeaseWeighted"/>
      <w:bookmarkEnd w:id="657"/>
      <w:bookmarkEnd w:id="658"/>
      <w:r>
        <w:rPr>
          <w:rFonts w:ascii="Times New Roman;Times;Serif" w:hAnsi="Times New Roman;Times;Serif"/>
          <w:b w:val="false"/>
          <w:i w:val="false"/>
          <w:caps w:val="false"/>
          <w:smallCaps w:val="false"/>
          <w:sz w:val="20"/>
        </w:rPr>
        <w:t xml:space="preserve">3.5 years and for machinery and equipment was </w:t>
      </w:r>
      <w:bookmarkStart w:id="659" w:name="xdx_90E_eus-gaap--OperatingLeaseWeighted"/>
      <w:bookmarkEnd w:id="659"/>
      <w:r>
        <w:rPr>
          <w:rFonts w:ascii="Times New Roman;Times;Serif" w:hAnsi="Times New Roman;Times;Serif"/>
          <w:b w:val="false"/>
          <w:i w:val="false"/>
          <w:caps w:val="false"/>
          <w:smallCaps w:val="false"/>
          <w:sz w:val="20"/>
        </w:rPr>
        <w:t>2.2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0" w:name="xdx_896_eus-gaap--ScheduleOfOtherAssetsN"/>
      <w:bookmarkEnd w:id="660"/>
      <w:r>
        <w:rPr>
          <w:rFonts w:ascii="Times New Roman;Times;Serif" w:hAnsi="Times New Roman;Times;Serif"/>
          <w:b w:val="false"/>
          <w:i w:val="false"/>
          <w:caps w:val="false"/>
          <w:smallCaps w:val="false"/>
          <w:sz w:val="20"/>
        </w:rPr>
        <w:t>The carrying amount of right-of-use assets by class of underlying asset are as follows:</w:t>
      </w:r>
    </w:p>
    <w:p>
      <w:pPr>
        <w:pStyle w:val="TextBody"/>
        <w:bidi w:val="0"/>
        <w:spacing w:before="0" w:after="0"/>
        <w:ind w:left="0" w:right="0" w:hanging="0"/>
        <w:jc w:val="both"/>
        <w:rPr>
          <w:caps w:val="false"/>
          <w:smallCaps w:val="false"/>
        </w:rPr>
      </w:pPr>
      <w:r>
        <w:rPr>
          <w:caps w:val="false"/>
          <w:smallCaps w:val="false"/>
        </w:rPr>
        <w:t> </w:t>
      </w:r>
      <w:bookmarkStart w:id="661" w:name="xdx_8BE_z5oBpx3KXRE8"/>
      <w:bookmarkEnd w:id="661"/>
      <w:r>
        <w:rPr>
          <w:rFonts w:ascii="Times New Roman;Times;Serif" w:hAnsi="Times New Roman;Times;Serif"/>
          <w:b w:val="false"/>
          <w:i w:val="false"/>
          <w:caps w:val="false"/>
          <w:smallCaps w:val="false"/>
          <w:sz w:val="20"/>
        </w:rPr>
        <w:t>SCHEDULE OF CARRYING AMOUNT OF RIGHT-OF-USE ASSETS</w:t>
      </w:r>
    </w:p>
    <w:tbl>
      <w:tblPr>
        <w:tblW w:w="5138" w:type="dxa"/>
        <w:jc w:val="left"/>
        <w:tblInd w:w="0" w:type="dxa"/>
        <w:tblLayout w:type="fixed"/>
        <w:tblCellMar>
          <w:top w:w="0" w:type="dxa"/>
          <w:left w:w="0" w:type="dxa"/>
          <w:bottom w:w="0" w:type="dxa"/>
          <w:right w:w="0" w:type="dxa"/>
        </w:tblCellMar>
      </w:tblPr>
      <w:tblGrid>
        <w:gridCol w:w="2645"/>
        <w:gridCol w:w="60"/>
        <w:gridCol w:w="99"/>
        <w:gridCol w:w="1000"/>
        <w:gridCol w:w="80"/>
        <w:gridCol w:w="60"/>
        <w:gridCol w:w="99"/>
        <w:gridCol w:w="1000"/>
        <w:gridCol w:w="95"/>
      </w:tblGrid>
      <w:tr>
        <w:trPr/>
        <w:tc>
          <w:tcPr>
            <w:tcW w:w="2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62" w:name="xdx_493_20241231_z04TwAE2q9Uc"/>
            <w:bookmarkEnd w:id="662"/>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63" w:name="xdx_49B_20251231_zVL6KZUH4Bhg"/>
            <w:bookmarkEnd w:id="663"/>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4" w:name="xdx_40E_ecustom--RightOfUseAssetBeforeAc"/>
            <w:bookmarkEnd w:id="664"/>
          </w:p>
        </w:tc>
      </w:tr>
      <w:tr>
        <w:trPr/>
        <w:tc>
          <w:tcPr>
            <w:tcW w:w="2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buildings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5" w:name="xdx_403_ecustom--RightOfUseAssetBeforeAc"/>
            <w:bookmarkEnd w:id="665"/>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6" w:name="xdx_404_ecustom--RightOfUseAssetBeforeAc"/>
            <w:bookmarkEnd w:id="666"/>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gross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7" w:name="xdx_40C_ecustom--RightOfUseAssetAccumula"/>
            <w:bookmarkEnd w:id="667"/>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8" w:name="xdx_406_eus-gaap--OperatingLeaseRightOfU"/>
            <w:bookmarkEnd w:id="668"/>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69" w:name="xdx_8AD_zfmEs72Tc7s2"/>
      <w:bookmarkEnd w:id="6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under operating leasing arrangements classified under leasehold buildings as of December 31, 2024 and 2025 amounted to S$</w:t>
      </w:r>
      <w:bookmarkStart w:id="670" w:name="xdx_906_ecustom--RightOfUseAssetBeforeAc"/>
      <w:bookmarkStart w:id="671" w:name="xdx_902_ecustom--RightOfUseAssetBeforeAc"/>
      <w:bookmarkEnd w:id="670"/>
      <w:bookmarkEnd w:id="671"/>
      <w:r>
        <w:rPr>
          <w:rFonts w:ascii="Times New Roman;Times;Serif" w:hAnsi="Times New Roman;Times;Serif"/>
          <w:b w:val="false"/>
          <w:i w:val="false"/>
          <w:caps w:val="false"/>
          <w:smallCaps w:val="false"/>
          <w:sz w:val="20"/>
        </w:rPr>
        <w:t>2.1 million for both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2" w:name="xdx_89C_ecustom--ScheduleOfLeaseRelatedA"/>
      <w:bookmarkEnd w:id="672"/>
      <w:r>
        <w:rPr>
          <w:rFonts w:ascii="Times New Roman;Times;Serif" w:hAnsi="Times New Roman;Times;Serif"/>
          <w:b w:val="false"/>
          <w:i w:val="false"/>
          <w:caps w:val="false"/>
          <w:smallCaps w:val="false"/>
          <w:sz w:val="20"/>
        </w:rPr>
        <w:t>The table below presents the lease-related assets and liabilities recorded on the balance sheet.</w:t>
      </w:r>
    </w:p>
    <w:p>
      <w:pPr>
        <w:pStyle w:val="TextBody"/>
        <w:bidi w:val="0"/>
        <w:spacing w:before="0" w:after="0"/>
        <w:ind w:left="0" w:right="0" w:hanging="0"/>
        <w:jc w:val="both"/>
        <w:rPr>
          <w:caps w:val="false"/>
          <w:smallCaps w:val="false"/>
        </w:rPr>
      </w:pPr>
      <w:r>
        <w:rPr>
          <w:caps w:val="false"/>
          <w:smallCaps w:val="false"/>
        </w:rPr>
        <w:t> </w:t>
      </w:r>
      <w:bookmarkStart w:id="673" w:name="xdx_8B5_z7BuN4pagrea"/>
      <w:bookmarkEnd w:id="673"/>
      <w:r>
        <w:rPr>
          <w:rFonts w:ascii="Times New Roman;Times;Serif" w:hAnsi="Times New Roman;Times;Serif"/>
          <w:b w:val="false"/>
          <w:i w:val="false"/>
          <w:caps w:val="false"/>
          <w:smallCaps w:val="false"/>
          <w:sz w:val="20"/>
        </w:rPr>
        <w:t>SCHEDULE OF LEASE-RELATED ASSETS AND LIABILITIES</w:t>
      </w:r>
    </w:p>
    <w:tbl>
      <w:tblPr>
        <w:tblW w:w="5608" w:type="dxa"/>
        <w:jc w:val="left"/>
        <w:tblInd w:w="0" w:type="dxa"/>
        <w:tblLayout w:type="fixed"/>
        <w:tblCellMar>
          <w:top w:w="0" w:type="dxa"/>
          <w:left w:w="0" w:type="dxa"/>
          <w:bottom w:w="0" w:type="dxa"/>
          <w:right w:w="0" w:type="dxa"/>
        </w:tblCellMar>
      </w:tblPr>
      <w:tblGrid>
        <w:gridCol w:w="3155"/>
        <w:gridCol w:w="60"/>
        <w:gridCol w:w="121"/>
        <w:gridCol w:w="978"/>
        <w:gridCol w:w="60"/>
        <w:gridCol w:w="60"/>
        <w:gridCol w:w="226"/>
        <w:gridCol w:w="873"/>
        <w:gridCol w:w="75"/>
      </w:tblGrid>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74" w:name="xdx_49B_20241231_zPsQ2IuMhkpi"/>
            <w:bookmarkEnd w:id="674"/>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75" w:name="xdx_49A_20251231_zARaOJiHtZxa"/>
            <w:bookmarkEnd w:id="675"/>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676" w:name="xdx_40A_eus-gaap--AssetsAbstract_iB_zmb1"/>
            <w:bookmarkEnd w:id="676"/>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7" w:name="xdx_400_eus-gaap--OperatingLeaseRightOfU"/>
            <w:bookmarkEnd w:id="677"/>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8" w:name="xdx_40B_ecustom--RightOfUseAsset_i01TI_p"/>
            <w:bookmarkEnd w:id="678"/>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right-of-use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9" w:name="xdx_405_eus-gaap--LiabilitiesCurrentAbst"/>
            <w:bookmarkEnd w:id="679"/>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0" w:name="xdx_406_eus-gaap--OperatingLeaseLiabilit"/>
            <w:bookmarkEnd w:id="680"/>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1" w:name="xdx_90E_eus-gaap--OperatingLeaseLiabilit"/>
            <w:bookmarkStart w:id="682" w:name="xdx_901_eus-gaap--OperatingLeaseLiabilit"/>
            <w:bookmarkEnd w:id="681"/>
            <w:bookmarkEnd w:id="682"/>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3" w:name="xdx_400_eus-gaap--OperatingLeaseLiabilit"/>
            <w:bookmarkEnd w:id="683"/>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4" w:name="xdx_405_eus-gaap--LiabilitiesNoncurrentA"/>
            <w:bookmarkEnd w:id="684"/>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5" w:name="xdx_403_eus-gaap--OperatingLeaseLiabilit"/>
            <w:bookmarkEnd w:id="685"/>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6" w:name="xdx_907_eus-gaap--OperatingLeaseLiabilit"/>
            <w:bookmarkStart w:id="687" w:name="xdx_90A_eus-gaap--OperatingLeaseLiabilit"/>
            <w:bookmarkEnd w:id="686"/>
            <w:bookmarkEnd w:id="687"/>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8" w:name="xdx_402_eus-gaap--OperatingLeaseLiabilit"/>
            <w:bookmarkEnd w:id="688"/>
          </w:p>
        </w:tc>
      </w:tr>
      <w:tr>
        <w:trPr/>
        <w:tc>
          <w:tcPr>
            <w:tcW w:w="31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Operating lease liabilities noncurrent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9" w:name="xdx_402_ecustom--TotalOperatingLeaseLiab"/>
            <w:bookmarkEnd w:id="689"/>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90" w:name="xdx_8A8_zfaFJ8A9DSjd"/>
      <w:bookmarkEnd w:id="69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1" w:name="xdx_89A_eus-gaap--LeaseCostTableTextBloc"/>
      <w:bookmarkEnd w:id="691"/>
      <w:r>
        <w:rPr>
          <w:rFonts w:ascii="Times New Roman;Times;Serif" w:hAnsi="Times New Roman;Times;Serif"/>
          <w:b w:val="false"/>
          <w:i w:val="false"/>
          <w:caps w:val="false"/>
          <w:smallCaps w:val="false"/>
          <w:sz w:val="20"/>
        </w:rPr>
        <w:t>The Company excludes short-term leases (those with lease terms of less than one year at inception) from the measurement of lease liabilities or right-of-use assets. The following tables summarize the lease expense for the years.</w:t>
      </w:r>
    </w:p>
    <w:p>
      <w:pPr>
        <w:pStyle w:val="TextBody"/>
        <w:bidi w:val="0"/>
        <w:spacing w:before="0" w:after="0"/>
        <w:ind w:left="0" w:right="0" w:hanging="0"/>
        <w:jc w:val="both"/>
        <w:rPr>
          <w:caps w:val="false"/>
          <w:smallCaps w:val="false"/>
        </w:rPr>
      </w:pPr>
      <w:r>
        <w:rPr>
          <w:caps w:val="false"/>
          <w:smallCaps w:val="false"/>
        </w:rPr>
        <w:t> </w:t>
      </w:r>
      <w:bookmarkStart w:id="692" w:name="xdx_8BD_ze3apHYqQ9Nb"/>
      <w:bookmarkEnd w:id="692"/>
      <w:r>
        <w:rPr>
          <w:rFonts w:ascii="Times New Roman;Times;Serif" w:hAnsi="Times New Roman;Times;Serif"/>
          <w:b w:val="false"/>
          <w:i w:val="false"/>
          <w:caps w:val="false"/>
          <w:smallCaps w:val="false"/>
          <w:sz w:val="20"/>
        </w:rPr>
        <w:t>SCHEDULE OF LEASE EXPENSE</w:t>
      </w:r>
    </w:p>
    <w:tbl>
      <w:tblPr>
        <w:tblW w:w="7697" w:type="dxa"/>
        <w:jc w:val="left"/>
        <w:tblInd w:w="0" w:type="dxa"/>
        <w:tblLayout w:type="fixed"/>
        <w:tblCellMar>
          <w:top w:w="0" w:type="dxa"/>
          <w:left w:w="0" w:type="dxa"/>
          <w:bottom w:w="0" w:type="dxa"/>
          <w:right w:w="0" w:type="dxa"/>
        </w:tblCellMar>
      </w:tblPr>
      <w:tblGrid>
        <w:gridCol w:w="3815"/>
        <w:gridCol w:w="60"/>
        <w:gridCol w:w="178"/>
        <w:gridCol w:w="1131"/>
        <w:gridCol w:w="60"/>
        <w:gridCol w:w="60"/>
        <w:gridCol w:w="99"/>
        <w:gridCol w:w="1000"/>
        <w:gridCol w:w="60"/>
        <w:gridCol w:w="60"/>
        <w:gridCol w:w="99"/>
        <w:gridCol w:w="1000"/>
        <w:gridCol w:w="75"/>
      </w:tblGrid>
      <w:tr>
        <w:trPr/>
        <w:tc>
          <w:tcPr>
            <w:tcW w:w="3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93" w:name="xdx_49A_20230101__20231231_zbzo33I0rWP5"/>
            <w:bookmarkEnd w:id="693"/>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As of</w:t>
              <w:br/>
              <w:t>Dec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4" w:name="xdx_49F_20240101__20241231_z3dS84DSVnL9"/>
            <w:bookmarkEnd w:id="694"/>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95" w:name="xdx_492_20250101__20251231_zCCX9jacfz51"/>
            <w:bookmarkEnd w:id="695"/>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shd w:fill="FFFFFF" w:val="clear"/>
            <w:vAlign w:val="center"/>
          </w:tcPr>
          <w:p>
            <w:pPr>
              <w:pStyle w:val="TableContents"/>
              <w:bidi w:val="0"/>
              <w:spacing w:before="0" w:after="283"/>
              <w:jc w:val="center"/>
              <w:rPr/>
            </w:pPr>
            <w:r>
              <w:rPr/>
              <w:t>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6" w:name="xdx_402_eus-gaap--LeaseCostAbstract_iB_z"/>
            <w:bookmarkEnd w:id="696"/>
          </w:p>
        </w:tc>
      </w:tr>
      <w:tr>
        <w:trPr/>
        <w:tc>
          <w:tcPr>
            <w:tcW w:w="3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7" w:name="xdx_40D_eus-gaap--OperatingLeaseCost_i01"/>
            <w:bookmarkEnd w:id="697"/>
          </w:p>
        </w:tc>
      </w:tr>
      <w:tr>
        <w:trPr/>
        <w:tc>
          <w:tcPr>
            <w:tcW w:w="3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(per ASC 842)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8" w:name="xdx_406_eus-gaap--ShortTermLeaseCost_i01"/>
            <w:bookmarkEnd w:id="698"/>
          </w:p>
        </w:tc>
      </w:tr>
      <w:tr>
        <w:trPr/>
        <w:tc>
          <w:tcPr>
            <w:tcW w:w="3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lease expense (other than ASC 842)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9" w:name="xdx_407_eus-gaap--LeaseCost_i01T_pn3n3_m"/>
            <w:bookmarkEnd w:id="699"/>
          </w:p>
        </w:tc>
      </w:tr>
      <w:tr>
        <w:trPr/>
        <w:tc>
          <w:tcPr>
            <w:tcW w:w="3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00" w:name="xdx_8A7_zvDUsIXat4q5"/>
      <w:bookmarkEnd w:id="7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Components of Lease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lease expense on a straight-line basis over the term of the operating leases, as reported within “general and administrative” expense on the accompanying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Future Contractual Lease Payments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1" w:name="xdx_899_ecustom--LesseeLeaseLiabilityMat"/>
      <w:bookmarkEnd w:id="701"/>
      <w:r>
        <w:rPr>
          <w:rFonts w:ascii="Times New Roman;Times;Serif" w:hAnsi="Times New Roman;Times;Serif"/>
          <w:b w:val="false"/>
          <w:i w:val="false"/>
          <w:caps w:val="false"/>
          <w:smallCaps w:val="false"/>
          <w:sz w:val="20"/>
        </w:rPr>
        <w:t>The below table summarizes our (i) minimum lease payments over the next five years, (ii) lease arrangement implied interest, and (iii) present value of future lease payments for the next three years ending December 31:</w:t>
      </w:r>
    </w:p>
    <w:p>
      <w:pPr>
        <w:pStyle w:val="TextBody"/>
        <w:bidi w:val="0"/>
        <w:spacing w:before="0" w:after="0"/>
        <w:ind w:left="0" w:right="0" w:hanging="0"/>
        <w:jc w:val="both"/>
        <w:rPr>
          <w:caps w:val="false"/>
          <w:smallCaps w:val="false"/>
        </w:rPr>
      </w:pPr>
      <w:r>
        <w:rPr>
          <w:caps w:val="false"/>
          <w:smallCaps w:val="false"/>
        </w:rPr>
        <w:t> </w:t>
      </w:r>
      <w:bookmarkStart w:id="702" w:name="xdx_8BA_zsoOUckGl0h5"/>
      <w:bookmarkEnd w:id="702"/>
      <w:r>
        <w:rPr>
          <w:rFonts w:ascii="Times New Roman;Times;Serif" w:hAnsi="Times New Roman;Times;Serif"/>
          <w:b w:val="false"/>
          <w:i w:val="false"/>
          <w:caps w:val="false"/>
          <w:smallCaps w:val="false"/>
          <w:sz w:val="20"/>
        </w:rPr>
        <w:t>SCHEDULE OF FUTURE CONTRACTUAL LEASE PAYMENTS</w:t>
      </w:r>
    </w:p>
    <w:tbl>
      <w:tblPr>
        <w:tblW w:w="5699" w:type="dxa"/>
        <w:jc w:val="left"/>
        <w:tblInd w:w="0" w:type="dxa"/>
        <w:tblLayout w:type="fixed"/>
        <w:tblCellMar>
          <w:top w:w="0" w:type="dxa"/>
          <w:left w:w="0" w:type="dxa"/>
          <w:bottom w:w="28" w:type="dxa"/>
          <w:right w:w="0" w:type="dxa"/>
        </w:tblCellMar>
      </w:tblPr>
      <w:tblGrid>
        <w:gridCol w:w="4370"/>
        <w:gridCol w:w="60"/>
        <w:gridCol w:w="107"/>
        <w:gridCol w:w="1067"/>
        <w:gridCol w:w="95"/>
      </w:tblGrid>
      <w:tr>
        <w:trPr/>
        <w:tc>
          <w:tcPr>
            <w:tcW w:w="437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703" w:name="xdx_499_20251231_z411pXENn4zh"/>
            <w:bookmarkEnd w:id="703"/>
          </w:p>
        </w:tc>
        <w:tc>
          <w:tcPr>
            <w:tcW w:w="1174" w:type="dxa"/>
            <w:gridSpan w:val="2"/>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amount</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704" w:name="xdx_400_eus-gaap--OperatingLeaseLiabilit"/>
            <w:bookmarkEnd w:id="704"/>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 of Use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05" w:name="xdx_409_eus-gaap--LesseeOperatingLeaseLi"/>
            <w:bookmarkEnd w:id="705"/>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06" w:name="xdx_40D_ecustom--LesseeOperatingLeaseLia"/>
            <w:bookmarkEnd w:id="706"/>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07" w:name="xdx_402_ecustom--LesseeOperatingLeaseLia"/>
            <w:bookmarkEnd w:id="707"/>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8" w:name="xdx_409_eus-gaap--LesseeOperatingLeaseLi"/>
            <w:bookmarkEnd w:id="708"/>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liabilities – Right of Use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09" w:name="xdx_409_ecustom--CurrentLiabilitiesRight"/>
            <w:bookmarkEnd w:id="709"/>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 Right of Use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0" w:name="xdx_40E_ecustom--NoncurrentLiabilitiesRi"/>
            <w:bookmarkEnd w:id="710"/>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 Right of Use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1" w:name="xdx_408_ecustom--OperatingLeaseLiabiliti"/>
            <w:bookmarkEnd w:id="711"/>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Right of Use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2" w:name="xdx_401_eus-gaap--FinanceLeaseLiabilitie"/>
            <w:bookmarkEnd w:id="712"/>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Hire Purchase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3" w:name="xdx_408_eus-gaap--FinanceLeaseLiabilityP"/>
            <w:bookmarkEnd w:id="713"/>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4" w:name="xdx_403_ecustom--FinanceLeaseLiabilityPa"/>
            <w:bookmarkEnd w:id="714"/>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5" w:name="xdx_406_ecustom--FinanceLeaseLiabilityUn"/>
            <w:bookmarkEnd w:id="715"/>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6" w:name="xdx_40E_ecustom--FinanceLeaseLiabilityUn"/>
            <w:bookmarkEnd w:id="716"/>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onwards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7" w:name="xdx_407_eus-gaap--FinanceLeaseLiabilityP"/>
            <w:bookmarkEnd w:id="717"/>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liabilities – Hire Purchase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8" w:name="xdx_403_ecustom--CurrentLiabilitiesHireP"/>
            <w:bookmarkEnd w:id="718"/>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 Hire Purchase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19" w:name="xdx_40E_ecustom--NoncurrentLiabilitiesHi"/>
            <w:bookmarkEnd w:id="719"/>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 Hire Purchase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20" w:name="xdx_409_ecustom--FinanceLeaseLiabilities"/>
            <w:bookmarkEnd w:id="720"/>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 Hire Purchase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21" w:name="xdx_407_ecustom--LeaseLiabilitiesCurrent"/>
            <w:bookmarkEnd w:id="721"/>
          </w:p>
        </w:tc>
      </w:tr>
      <w:tr>
        <w:trPr/>
        <w:tc>
          <w:tcPr>
            <w:tcW w:w="4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22" w:name="xdx_40E_ecustom--LeaseLiabilitiesNoncurr"/>
            <w:bookmarkEnd w:id="722"/>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23" w:name="xdx_40E_ecustom--LeaseLiabilitieNonCurre"/>
            <w:bookmarkEnd w:id="723"/>
          </w:p>
        </w:tc>
      </w:tr>
      <w:tr>
        <w:trPr/>
        <w:tc>
          <w:tcPr>
            <w:tcW w:w="43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24" w:name="xdx_8AB_zpcGXAc4sWod"/>
      <w:bookmarkEnd w:id="724"/>
      <w:r>
        <w:rPr>
          <w:caps w:val="false"/>
          <w:smallCaps w:val="false"/>
        </w:rPr>
        <w:t> </w:t>
      </w:r>
    </w:p>
    <w:p>
      <w:pPr>
        <w:pStyle w:val="TextBody"/>
        <w:bidi w:val="0"/>
        <w:spacing w:before="0" w:after="0"/>
        <w:ind w:left="0" w:right="0" w:hanging="0"/>
        <w:jc w:val="both"/>
        <w:rPr>
          <w:caps w:val="false"/>
          <w:smallCaps w:val="false"/>
        </w:rPr>
      </w:pPr>
      <w:bookmarkStart w:id="725" w:name="xdx_891_ecustom--ScheduleOfOperatingLeas"/>
      <w:bookmarkEnd w:id="725"/>
      <w:r>
        <w:rPr>
          <w:caps w:val="false"/>
          <w:smallCaps w:val="false"/>
        </w:rPr>
        <w:t> </w:t>
      </w:r>
      <w:r>
        <w:rPr>
          <w:rFonts w:ascii="Times New Roman;Times;Serif" w:hAnsi="Times New Roman;Times;Serif"/>
          <w:b w:val="false"/>
          <w:i w:val="false"/>
          <w:caps w:val="false"/>
          <w:smallCaps w:val="false"/>
          <w:sz w:val="20"/>
        </w:rPr>
        <w:t>SCHEDULE OF OPERATING LEASE SUPPLEMENTAL CASH FLOWS INFORMATION</w:t>
      </w:r>
    </w:p>
    <w:tbl>
      <w:tblPr>
        <w:tblW w:w="10205" w:type="dxa"/>
        <w:jc w:val="left"/>
        <w:tblInd w:w="0" w:type="dxa"/>
        <w:tblLayout w:type="fixed"/>
        <w:tblCellMar>
          <w:top w:w="0" w:type="dxa"/>
          <w:left w:w="0" w:type="dxa"/>
          <w:bottom w:w="0" w:type="dxa"/>
          <w:right w:w="0" w:type="dxa"/>
        </w:tblCellMar>
      </w:tblPr>
      <w:tblGrid>
        <w:gridCol w:w="7120"/>
        <w:gridCol w:w="60"/>
        <w:gridCol w:w="60"/>
        <w:gridCol w:w="673"/>
        <w:gridCol w:w="215"/>
        <w:gridCol w:w="60"/>
        <w:gridCol w:w="60"/>
        <w:gridCol w:w="673"/>
        <w:gridCol w:w="215"/>
        <w:gridCol w:w="60"/>
        <w:gridCol w:w="60"/>
        <w:gridCol w:w="717"/>
        <w:gridCol w:w="232"/>
      </w:tblGrid>
      <w:tr>
        <w:trPr/>
        <w:tc>
          <w:tcPr>
            <w:tcW w:w="7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6" w:name="xdx_493_20230101__20231231_zhrF6NG4pYP6"/>
            <w:bookmarkEnd w:id="726"/>
          </w:p>
        </w:tc>
        <w:tc>
          <w:tcPr>
            <w:tcW w:w="733"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7" w:name="xdx_492_20240101__20241231_z3ijw47Cwuu6"/>
            <w:bookmarkEnd w:id="727"/>
          </w:p>
        </w:tc>
        <w:tc>
          <w:tcPr>
            <w:tcW w:w="73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8" w:name="xdx_496_20250101__20251231_zVxfJ5hUN6ga"/>
            <w:bookmarkEnd w:id="728"/>
          </w:p>
        </w:tc>
        <w:tc>
          <w:tcPr>
            <w:tcW w:w="77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32"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3" w:type="dxa"/>
            <w:gridSpan w:val="10"/>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232"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32"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gridSpan w:val="2"/>
            <w:tcBorders/>
            <w:vAlign w:val="center"/>
          </w:tcPr>
          <w:p>
            <w:pPr>
              <w:pStyle w:val="TableContents"/>
              <w:bidi w:val="0"/>
              <w:spacing w:before="0" w:after="283"/>
              <w:jc w:val="center"/>
              <w:rPr/>
            </w:pPr>
            <w:r>
              <w:rPr/>
              <w:t>S$’000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gridSpan w:val="2"/>
            <w:tcBorders/>
            <w:vAlign w:val="center"/>
          </w:tcPr>
          <w:p>
            <w:pPr>
              <w:pStyle w:val="TableContents"/>
              <w:bidi w:val="0"/>
              <w:spacing w:before="0" w:after="283"/>
              <w:jc w:val="center"/>
              <w:rPr/>
            </w:pPr>
            <w:r>
              <w:rPr/>
              <w:t>S$’000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center"/>
              <w:rPr/>
            </w:pPr>
            <w:r>
              <w:rPr/>
              <w:t>S$’000</w:t>
            </w:r>
          </w:p>
        </w:tc>
        <w:tc>
          <w:tcPr>
            <w:tcW w:w="232" w:type="dxa"/>
            <w:tcBorders/>
            <w:vAlign w:val="center"/>
          </w:tcPr>
          <w:p>
            <w:pPr>
              <w:pStyle w:val="TableContents"/>
              <w:bidi w:val="0"/>
              <w:spacing w:before="0" w:after="283"/>
              <w:jc w:val="left"/>
              <w:rPr/>
            </w:pPr>
            <w:r>
              <w:rPr/>
              <w:t> </w:t>
            </w:r>
            <w:bookmarkStart w:id="729" w:name="xdx_402_eus-gaap--CashFlowOperatingActiv"/>
            <w:bookmarkEnd w:id="729"/>
          </w:p>
        </w:tc>
      </w:tr>
      <w:tr>
        <w:trPr/>
        <w:tc>
          <w:tcPr>
            <w:tcW w:w="7120" w:type="dxa"/>
            <w:tcBorders/>
            <w:shd w:fill="CCEEFF" w:val="clear"/>
            <w:vAlign w:val="center"/>
          </w:tcPr>
          <w:p>
            <w:pPr>
              <w:pStyle w:val="TableContents"/>
              <w:bidi w:val="0"/>
              <w:spacing w:before="0" w:after="283"/>
              <w:jc w:val="left"/>
              <w:rPr>
                <w:b/>
              </w:rPr>
            </w:pPr>
            <w:r>
              <w:rPr>
                <w:b/>
              </w:rPr>
              <w:t>Supplemental Cash Flows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bookmarkStart w:id="730" w:name="xdx_40E_eus-gaap--OperatingLeasePayments"/>
            <w:bookmarkEnd w:id="730"/>
          </w:p>
        </w:tc>
      </w:tr>
      <w:tr>
        <w:trPr/>
        <w:tc>
          <w:tcPr>
            <w:tcW w:w="7120" w:type="dxa"/>
            <w:tcBorders/>
            <w:shd w:fill="CCEEFF" w:val="clear"/>
            <w:vAlign w:val="center"/>
          </w:tcPr>
          <w:p>
            <w:pPr>
              <w:pStyle w:val="TableContents"/>
              <w:bidi w:val="0"/>
              <w:spacing w:before="0" w:after="283"/>
              <w:jc w:val="left"/>
              <w:rPr/>
            </w:pPr>
            <w:r>
              <w:rPr/>
              <w:t>Operating cash flows from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7,764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8,638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9,573</w:t>
            </w:r>
          </w:p>
        </w:tc>
        <w:tc>
          <w:tcPr>
            <w:tcW w:w="232" w:type="dxa"/>
            <w:tcBorders/>
            <w:shd w:fill="CCEEFF" w:val="clear"/>
            <w:vAlign w:val="center"/>
          </w:tcPr>
          <w:p>
            <w:pPr>
              <w:pStyle w:val="TableContents"/>
              <w:bidi w:val="0"/>
              <w:spacing w:before="0" w:after="283"/>
              <w:jc w:val="left"/>
              <w:rPr/>
            </w:pPr>
            <w:r>
              <w:rPr/>
              <w:t> </w:t>
            </w:r>
            <w:bookmarkStart w:id="731" w:name="xdx_40F_eus-gaap--OperatingLeasePayments"/>
            <w:bookmarkEnd w:id="731"/>
          </w:p>
        </w:tc>
      </w:tr>
      <w:tr>
        <w:trPr/>
        <w:tc>
          <w:tcPr>
            <w:tcW w:w="7120" w:type="dxa"/>
            <w:tcBorders/>
            <w:shd w:fill="CCEEFF" w:val="clear"/>
            <w:vAlign w:val="center"/>
          </w:tcPr>
          <w:p>
            <w:pPr>
              <w:pStyle w:val="TableContents"/>
              <w:bidi w:val="0"/>
              <w:spacing w:before="0" w:after="283"/>
              <w:jc w:val="left"/>
              <w:rPr/>
            </w:pPr>
            <w:r>
              <w:rPr/>
              <w:t>Cash paid for amounts included in the measurement of lease liability operating cash flows from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7,764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8,638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9,573</w:t>
            </w:r>
          </w:p>
        </w:tc>
        <w:tc>
          <w:tcPr>
            <w:tcW w:w="232"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Operating lease asset obtained in exchange for operating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bookmarkStart w:id="732" w:name="xdx_407_eus-gaap--RightOfUseAssetObtaine"/>
            <w:bookmarkEnd w:id="732"/>
          </w:p>
        </w:tc>
      </w:tr>
      <w:tr>
        <w:trPr/>
        <w:tc>
          <w:tcPr>
            <w:tcW w:w="7120" w:type="dxa"/>
            <w:tcBorders/>
            <w:shd w:fill="FFFFFF" w:val="clear"/>
            <w:vAlign w:val="center"/>
          </w:tcPr>
          <w:p>
            <w:pPr>
              <w:pStyle w:val="TableContents"/>
              <w:bidi w:val="0"/>
              <w:spacing w:before="0" w:after="283"/>
              <w:jc w:val="left"/>
              <w:rPr/>
            </w:pPr>
            <w:r>
              <w:rPr/>
              <w:t>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9,439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8,360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10,383</w:t>
            </w:r>
          </w:p>
        </w:tc>
        <w:tc>
          <w:tcPr>
            <w:tcW w:w="232" w:type="dxa"/>
            <w:tcBorders/>
            <w:shd w:fill="FFFFFF" w:val="clear"/>
            <w:vAlign w:val="center"/>
          </w:tcPr>
          <w:p>
            <w:pPr>
              <w:pStyle w:val="TableContents"/>
              <w:bidi w:val="0"/>
              <w:spacing w:before="0" w:after="283"/>
              <w:jc w:val="left"/>
              <w:rPr/>
            </w:pPr>
            <w:r>
              <w:rPr/>
              <w:t> </w:t>
            </w:r>
            <w:bookmarkStart w:id="733" w:name="xdx_409_eus-gaap--RightOfUseAssetObtaine"/>
            <w:bookmarkEnd w:id="733"/>
          </w:p>
        </w:tc>
      </w:tr>
      <w:tr>
        <w:trPr/>
        <w:tc>
          <w:tcPr>
            <w:tcW w:w="7120" w:type="dxa"/>
            <w:tcBorders/>
            <w:shd w:fill="FFFFFF" w:val="clear"/>
            <w:vAlign w:val="center"/>
          </w:tcPr>
          <w:p>
            <w:pPr>
              <w:pStyle w:val="TableContents"/>
              <w:bidi w:val="0"/>
              <w:spacing w:before="0" w:after="283"/>
              <w:jc w:val="left"/>
              <w:rPr/>
            </w:pPr>
            <w:r>
              <w:rPr/>
              <w:t>Operating lease asset obtained in exchange for operating lease obligations 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9,439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8,360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10,383</w:t>
            </w:r>
          </w:p>
        </w:tc>
        <w:tc>
          <w:tcPr>
            <w:tcW w:w="232"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Remaining lease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sz w:val="20"/>
              </w:rPr>
            </w:pPr>
            <w:bookmarkStart w:id="734" w:name="xdx_900_eus-gaap--OperatingLeaseWeighted"/>
            <w:bookmarkEnd w:id="734"/>
            <w:r>
              <w:rPr>
                <w:rFonts w:ascii="Times New Roman;Times;Serif" w:hAnsi="Times New Roman;Times;Serif"/>
                <w:sz w:val="20"/>
              </w:rPr>
              <w:t>3.5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sz w:val="20"/>
              </w:rPr>
            </w:pPr>
            <w:bookmarkStart w:id="735" w:name="xdx_907_eus-gaap--OperatingLeaseWeighted"/>
            <w:bookmarkEnd w:id="735"/>
            <w:r>
              <w:rPr>
                <w:rFonts w:ascii="Times New Roman;Times;Serif" w:hAnsi="Times New Roman;Times;Serif"/>
                <w:sz w:val="20"/>
              </w:rPr>
              <w:t>2.5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sz w:val="20"/>
              </w:rPr>
            </w:pPr>
            <w:bookmarkStart w:id="736" w:name="xdx_90F_eus-gaap--OperatingLeaseWeighted"/>
            <w:bookmarkEnd w:id="736"/>
            <w:r>
              <w:rPr>
                <w:rFonts w:ascii="Times New Roman;Times;Serif" w:hAnsi="Times New Roman;Times;Serif"/>
                <w:sz w:val="20"/>
              </w:rPr>
              <w:t>2.2 years</w:t>
            </w:r>
          </w:p>
        </w:tc>
        <w:tc>
          <w:tcPr>
            <w:tcW w:w="232"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bookmarkStart w:id="737" w:name="xdx_90C_eus-gaap--OperatingLeaseWeighted"/>
            <w:bookmarkEnd w:id="737"/>
            <w:r>
              <w:rPr/>
              <w:t>5.76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bookmarkStart w:id="738" w:name="xdx_90B_eus-gaap--OperatingLeaseWeighted"/>
            <w:bookmarkEnd w:id="738"/>
            <w:r>
              <w:rPr/>
              <w:t>5.15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bookmarkStart w:id="739" w:name="xdx_90B_eus-gaap--OperatingLeaseWeighted"/>
            <w:bookmarkEnd w:id="739"/>
            <w:r>
              <w:rPr/>
              <w:t>4.77</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40" w:name="xdx_8A3_z2gsefxe0DE6"/>
      <w:bookmarkEnd w:id="74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41" w:name="xdx_804_eus-gaap--LoansNotesTradeAndOthe"/>
      <w:bookmarkEnd w:id="741"/>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9 </w:t>
      </w:r>
      <w:bookmarkStart w:id="742" w:name="xdx_821_zlGg2XVOUFn2"/>
      <w:bookmarkEnd w:id="742"/>
      <w:r>
        <w:rPr>
          <w:rFonts w:ascii="Times New Roman;Times;Serif" w:hAnsi="Times New Roman;Times;Serif"/>
          <w:b/>
          <w:i w:val="false"/>
          <w:caps w:val="false"/>
          <w:smallCaps w:val="false"/>
          <w:sz w:val="20"/>
        </w:rPr>
        <w:t>ACCOUNT PAYABLE AND ACCRUED LIABILITIES</w:t>
      </w:r>
    </w:p>
    <w:p>
      <w:pPr>
        <w:pStyle w:val="TextBody"/>
        <w:bidi w:val="0"/>
        <w:spacing w:before="0" w:after="0"/>
        <w:ind w:left="0" w:right="0" w:hanging="0"/>
        <w:jc w:val="both"/>
        <w:rPr>
          <w:caps w:val="false"/>
          <w:smallCaps w:val="false"/>
        </w:rPr>
      </w:pPr>
      <w:bookmarkStart w:id="743" w:name="xdx_894_eus-gaap--ScheduleOfAccountsPaya"/>
      <w:bookmarkEnd w:id="743"/>
      <w:r>
        <w:rPr>
          <w:caps w:val="false"/>
          <w:smallCaps w:val="false"/>
        </w:rPr>
        <w:t> </w:t>
      </w:r>
      <w:bookmarkStart w:id="744" w:name="xdx_8B1_zEli9h4F9eXh"/>
      <w:bookmarkEnd w:id="744"/>
      <w:r>
        <w:rPr>
          <w:rFonts w:ascii="Times New Roman;Times;Serif" w:hAnsi="Times New Roman;Times;Serif"/>
          <w:b w:val="false"/>
          <w:i w:val="false"/>
          <w:caps w:val="false"/>
          <w:smallCaps w:val="false"/>
          <w:sz w:val="20"/>
        </w:rPr>
        <w:t>SCHEDULE OF ACCOUNT PAYABLE AND ACCRUED LIABILITIES</w:t>
      </w:r>
    </w:p>
    <w:tbl>
      <w:tblPr>
        <w:tblW w:w="5713" w:type="dxa"/>
        <w:jc w:val="left"/>
        <w:tblInd w:w="0" w:type="dxa"/>
        <w:tblLayout w:type="fixed"/>
        <w:tblCellMar>
          <w:top w:w="0" w:type="dxa"/>
          <w:left w:w="0" w:type="dxa"/>
          <w:bottom w:w="0" w:type="dxa"/>
          <w:right w:w="0" w:type="dxa"/>
        </w:tblCellMar>
      </w:tblPr>
      <w:tblGrid>
        <w:gridCol w:w="3260"/>
        <w:gridCol w:w="60"/>
        <w:gridCol w:w="99"/>
        <w:gridCol w:w="1000"/>
        <w:gridCol w:w="60"/>
        <w:gridCol w:w="60"/>
        <w:gridCol w:w="99"/>
        <w:gridCol w:w="1000"/>
        <w:gridCol w:w="75"/>
      </w:tblGrid>
      <w:tr>
        <w:trPr/>
        <w:tc>
          <w:tcPr>
            <w:tcW w:w="3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45" w:name="xdx_49C_20241231_zJcwpkm9frI4"/>
            <w:bookmarkEnd w:id="745"/>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46" w:name="xdx_493_20251231_zYYg5cAIRMqc"/>
            <w:bookmarkEnd w:id="746"/>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7" w:name="xdx_40D_eus-gaap--AccountsPayableTradeCu"/>
            <w:bookmarkEnd w:id="747"/>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creditors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8" w:name="xdx_407_eus-gaap--AccruedLiabilitiesCurr"/>
            <w:bookmarkEnd w:id="748"/>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9" w:name="xdx_405_ecustom--DepositReceived_iI_maAP"/>
            <w:bookmarkEnd w:id="749"/>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received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0" w:name="xdx_40C_eus-gaap--SalesAndExciseTaxPayab"/>
            <w:bookmarkEnd w:id="750"/>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Goods and services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1" w:name="xdx_407_eus-gaap--DeferredIncome_iI_maAP"/>
            <w:bookmarkEnd w:id="751"/>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2" w:name="xdx_404_eus-gaap--OtherAccruedLiabilitie"/>
            <w:bookmarkEnd w:id="752"/>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3" w:name="xdx_40F_eus-gaap--AccountsPayableAndAccr"/>
            <w:bookmarkEnd w:id="753"/>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54" w:name="xdx_8AF_zL6FSmfkkCx9"/>
      <w:bookmarkEnd w:id="754"/>
      <w:r>
        <w:rPr>
          <w:caps w:val="false"/>
          <w:smallCaps w:val="false"/>
        </w:rPr>
        <w:t> </w:t>
      </w:r>
    </w:p>
    <w:p>
      <w:pPr>
        <w:pStyle w:val="TextBody"/>
        <w:bidi w:val="0"/>
        <w:spacing w:before="0" w:after="0"/>
        <w:ind w:left="0" w:right="0" w:hanging="0"/>
        <w:jc w:val="both"/>
        <w:rPr>
          <w:caps w:val="false"/>
          <w:smallCaps w:val="false"/>
        </w:rPr>
      </w:pPr>
      <w:bookmarkStart w:id="755" w:name="xdx_808_ecustom--AmountsDueToRelatedPart"/>
      <w:bookmarkEnd w:id="755"/>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10 </w:t>
      </w:r>
      <w:bookmarkStart w:id="756" w:name="xdx_82F_ze7NoEQ1bD"/>
      <w:bookmarkEnd w:id="756"/>
      <w:r>
        <w:rPr>
          <w:rFonts w:ascii="Times New Roman;Times;Serif" w:hAnsi="Times New Roman;Times;Serif"/>
          <w:b/>
          <w:i w:val="false"/>
          <w:caps w:val="false"/>
          <w:smallCaps w:val="false"/>
          <w:sz w:val="20"/>
        </w:rPr>
        <w:t>AMOUNTS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7" w:name="xdx_898_ecustom--ScheduleOfAmountsDueToR"/>
      <w:bookmarkEnd w:id="757"/>
      <w:r>
        <w:rPr>
          <w:rFonts w:ascii="Times New Roman;Times;Serif" w:hAnsi="Times New Roman;Times;Serif"/>
          <w:b w:val="false"/>
          <w:i w:val="false"/>
          <w:caps w:val="false"/>
          <w:smallCaps w:val="false"/>
          <w:sz w:val="20"/>
        </w:rPr>
        <w:t>Amounts due to related parties consisted of the following:</w:t>
      </w:r>
    </w:p>
    <w:p>
      <w:pPr>
        <w:pStyle w:val="TextBody"/>
        <w:bidi w:val="0"/>
        <w:spacing w:before="0" w:after="0"/>
        <w:ind w:left="0" w:right="0" w:hanging="0"/>
        <w:jc w:val="both"/>
        <w:rPr>
          <w:caps w:val="false"/>
          <w:smallCaps w:val="false"/>
        </w:rPr>
      </w:pPr>
      <w:r>
        <w:rPr>
          <w:caps w:val="false"/>
          <w:smallCaps w:val="false"/>
        </w:rPr>
        <w:t> </w:t>
      </w:r>
      <w:bookmarkStart w:id="758" w:name="xdx_8B8_zUvcS4kXfCm9"/>
      <w:bookmarkEnd w:id="758"/>
      <w:r>
        <w:rPr>
          <w:rFonts w:ascii="Times New Roman;Times;Serif" w:hAnsi="Times New Roman;Times;Serif"/>
          <w:b w:val="false"/>
          <w:i w:val="false"/>
          <w:caps w:val="false"/>
          <w:smallCaps w:val="false"/>
          <w:sz w:val="20"/>
        </w:rPr>
        <w:t>SCHEDULE OF AMOUNTS DUE TO RELATED PARTIES</w:t>
      </w:r>
    </w:p>
    <w:tbl>
      <w:tblPr>
        <w:tblW w:w="5578" w:type="dxa"/>
        <w:jc w:val="left"/>
        <w:tblInd w:w="0" w:type="dxa"/>
        <w:tblLayout w:type="fixed"/>
        <w:tblCellMar>
          <w:top w:w="0" w:type="dxa"/>
          <w:left w:w="0" w:type="dxa"/>
          <w:bottom w:w="0" w:type="dxa"/>
          <w:right w:w="0" w:type="dxa"/>
        </w:tblCellMar>
      </w:tblPr>
      <w:tblGrid>
        <w:gridCol w:w="3125"/>
        <w:gridCol w:w="60"/>
        <w:gridCol w:w="99"/>
        <w:gridCol w:w="1000"/>
        <w:gridCol w:w="60"/>
        <w:gridCol w:w="60"/>
        <w:gridCol w:w="99"/>
        <w:gridCol w:w="1000"/>
        <w:gridCol w:w="75"/>
      </w:tblGrid>
      <w:tr>
        <w:trPr/>
        <w:tc>
          <w:tcPr>
            <w:tcW w:w="3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Ten-League Corporations Pte Ltd</w:t>
            </w:r>
            <w:bookmarkStart w:id="759" w:name="xdx_F4B_zsAvePv1Smd"/>
            <w:bookmarkEnd w:id="759"/>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0" w:name="xdx_98A_eus-gaap--OtherLiabilities_iI_c2"/>
            <w:bookmarkEnd w:id="760"/>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1" w:name="xdx_987_eus-gaap--OtherLiabilities_iI_c2"/>
            <w:bookmarkEnd w:id="761"/>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Ten-League Green Energy Pte Ltd</w:t>
            </w:r>
            <w:bookmarkStart w:id="762" w:name="xdx_F4D_zTUO2uEtqOj3"/>
            <w:bookmarkEnd w:id="762"/>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3" w:name="xdx_984_eus-gaap--OtherLiabilities_iI_c2"/>
            <w:bookmarkEnd w:id="763"/>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4" w:name="xdx_989_eus-gaap--OtherLiabilities_iI_c2"/>
            <w:bookmarkEnd w:id="764"/>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5" w:name="xdx_985_eus-gaap--OtherLiabilities_iI_c2"/>
            <w:bookmarkEnd w:id="765"/>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6" w:name="xdx_986_eus-gaap--OtherLiabilities_iI_c2"/>
            <w:bookmarkEnd w:id="766"/>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60"/>
        <w:gridCol w:w="60"/>
        <w:gridCol w:w="2225"/>
      </w:tblGrid>
      <w:tr>
        <w:trPr/>
        <w:tc>
          <w:tcPr>
            <w:tcW w:w="2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7" w:name="xdx_F0C_zVFriS7a5yuh"/>
            <w:bookmarkEnd w:id="767"/>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8" w:name="xdx_F14_zVFRyWNBSBf9"/>
            <w:bookmarkEnd w:id="768"/>
            <w:r>
              <w:rPr>
                <w:rFonts w:ascii="Times New Roman;Times;Serif" w:hAnsi="Times New Roman;Times;Serif"/>
                <w:b w:val="false"/>
                <w:i w:val="false"/>
                <w:caps w:val="false"/>
                <w:smallCaps w:val="false"/>
                <w:sz w:val="20"/>
              </w:rPr>
              <w:t>Ultimate holding company</w:t>
            </w:r>
          </w:p>
        </w:tc>
      </w:tr>
    </w:tbl>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60"/>
        <w:gridCol w:w="60"/>
        <w:gridCol w:w="4115"/>
      </w:tblGrid>
      <w:tr>
        <w:trPr/>
        <w:tc>
          <w:tcPr>
            <w:tcW w:w="2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9" w:name="xdx_F0E_ztpwI4Sw2Lf4"/>
            <w:bookmarkEnd w:id="769"/>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0" w:name="xdx_904_eus-gaap--EquityMethodInvestment"/>
            <w:bookmarkStart w:id="771" w:name="xdx_F11_zp6aGuCpMy16"/>
            <w:bookmarkEnd w:id="770"/>
            <w:bookmarkEnd w:id="771"/>
            <w:r>
              <w:rPr>
                <w:rFonts w:ascii="Times New Roman;Times;Serif" w:hAnsi="Times New Roman;Times;Serif"/>
                <w:b w:val="false"/>
                <w:i w:val="false"/>
                <w:caps w:val="false"/>
                <w:smallCaps w:val="false"/>
                <w:sz w:val="20"/>
              </w:rPr>
              <w:t>100% owned by Ten-League Corporations Pte Ltd</w:t>
            </w:r>
          </w:p>
        </w:tc>
      </w:tr>
    </w:tbl>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40"/>
        <w:gridCol w:w="60"/>
        <w:gridCol w:w="546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72" w:name="xdx_F0D_z5wY7LvoLNh9"/>
            <w:bookmarkEnd w:id="772"/>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3" w:name="xdx_F10_zFWZEVwAzqrg"/>
            <w:bookmarkEnd w:id="773"/>
            <w:r>
              <w:rPr>
                <w:rFonts w:ascii="Times New Roman;Times;Serif" w:hAnsi="Times New Roman;Times;Serif"/>
                <w:b w:val="false"/>
                <w:i w:val="false"/>
                <w:caps w:val="false"/>
                <w:smallCaps w:val="false"/>
                <w:sz w:val="20"/>
              </w:rPr>
              <w:t>The amounts are unsecured, interest-free and repayable on demand.</w:t>
            </w:r>
          </w:p>
        </w:tc>
      </w:tr>
    </w:tbl>
    <w:p>
      <w:pPr>
        <w:pStyle w:val="TextBody"/>
        <w:bidi w:val="0"/>
        <w:spacing w:before="0" w:after="0"/>
        <w:ind w:left="0" w:right="0" w:hanging="0"/>
        <w:jc w:val="both"/>
        <w:rPr>
          <w:caps w:val="false"/>
          <w:smallCaps w:val="false"/>
        </w:rPr>
      </w:pPr>
      <w:bookmarkStart w:id="774" w:name="xdx_8AD_zhx46KdiWHhb"/>
      <w:bookmarkEnd w:id="774"/>
      <w:r>
        <w:rPr>
          <w:caps w:val="false"/>
          <w:smallCaps w:val="false"/>
        </w:rPr>
        <w:t> </w:t>
      </w:r>
    </w:p>
    <w:p>
      <w:pPr>
        <w:pStyle w:val="TextBody"/>
        <w:bidi w:val="0"/>
        <w:spacing w:before="0" w:after="0"/>
        <w:ind w:left="0" w:right="0" w:hanging="0"/>
        <w:jc w:val="both"/>
        <w:rPr>
          <w:caps w:val="false"/>
          <w:smallCaps w:val="false"/>
        </w:rPr>
      </w:pPr>
      <w:bookmarkStart w:id="775" w:name="xdx_80F_eus-gaap--DebtDisclosureTextBloc"/>
      <w:bookmarkEnd w:id="775"/>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11 </w:t>
      </w:r>
      <w:bookmarkStart w:id="776" w:name="xdx_822_zkGigHQa7Nbj"/>
      <w:bookmarkEnd w:id="776"/>
      <w:r>
        <w:rPr>
          <w:rFonts w:ascii="Times New Roman;Times;Serif" w:hAnsi="Times New Roman;Times;Serif"/>
          <w:b/>
          <w:i w:val="false"/>
          <w:caps w:val="false"/>
          <w:smallCaps w:val="false"/>
          <w:sz w:val="20"/>
        </w:rPr>
        <w:t>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7" w:name="xdx_895_eus-gaap--ScheduleOfDebtTableTex"/>
      <w:bookmarkEnd w:id="777"/>
      <w:r>
        <w:rPr>
          <w:rFonts w:ascii="Times New Roman;Times;Serif" w:hAnsi="Times New Roman;Times;Serif"/>
          <w:b w:val="false"/>
          <w:i w:val="false"/>
          <w:caps w:val="false"/>
          <w:smallCaps w:val="false"/>
          <w:sz w:val="20"/>
        </w:rPr>
        <w:t>Bank borrowings consisted of the following:</w:t>
      </w:r>
    </w:p>
    <w:p>
      <w:pPr>
        <w:pStyle w:val="TextBody"/>
        <w:bidi w:val="0"/>
        <w:spacing w:before="0" w:after="0"/>
        <w:ind w:left="0" w:right="0" w:hanging="0"/>
        <w:jc w:val="both"/>
        <w:rPr>
          <w:caps w:val="false"/>
          <w:smallCaps w:val="false"/>
        </w:rPr>
      </w:pPr>
      <w:r>
        <w:rPr>
          <w:caps w:val="false"/>
          <w:smallCaps w:val="false"/>
        </w:rPr>
        <w:t> </w:t>
      </w:r>
      <w:bookmarkStart w:id="778" w:name="xdx_8BD_zyKXeEwI5Mj2"/>
      <w:bookmarkEnd w:id="778"/>
      <w:r>
        <w:rPr>
          <w:rFonts w:ascii="Times New Roman;Times;Serif" w:hAnsi="Times New Roman;Times;Serif"/>
          <w:b w:val="false"/>
          <w:i w:val="false"/>
          <w:caps w:val="false"/>
          <w:smallCaps w:val="false"/>
          <w:sz w:val="20"/>
        </w:rPr>
        <w:t>SCHEDULE OF BANK BORROWINGS</w:t>
      </w:r>
    </w:p>
    <w:tbl>
      <w:tblPr>
        <w:tblW w:w="6732" w:type="dxa"/>
        <w:jc w:val="left"/>
        <w:tblInd w:w="0" w:type="dxa"/>
        <w:tblLayout w:type="fixed"/>
        <w:tblCellMar>
          <w:top w:w="0" w:type="dxa"/>
          <w:left w:w="0" w:type="dxa"/>
          <w:bottom w:w="0" w:type="dxa"/>
          <w:right w:w="0" w:type="dxa"/>
        </w:tblCellMar>
      </w:tblPr>
      <w:tblGrid>
        <w:gridCol w:w="1805"/>
        <w:gridCol w:w="60"/>
        <w:gridCol w:w="1205"/>
        <w:gridCol w:w="60"/>
        <w:gridCol w:w="172"/>
        <w:gridCol w:w="792"/>
        <w:gridCol w:w="185"/>
        <w:gridCol w:w="60"/>
        <w:gridCol w:w="99"/>
        <w:gridCol w:w="1000"/>
        <w:gridCol w:w="60"/>
        <w:gridCol w:w="60"/>
        <w:gridCol w:w="99"/>
        <w:gridCol w:w="1000"/>
        <w:gridCol w:w="75"/>
      </w:tblGrid>
      <w:tr>
        <w:trPr/>
        <w:tc>
          <w:tcPr>
            <w:tcW w:w="18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79" w:name="xdx_493_20241231_zlAn6VLgAdy3"/>
            <w:bookmarkEnd w:id="779"/>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80" w:name="xdx_49B_20251231_zvdUYGyjKxuh"/>
            <w:bookmarkEnd w:id="780"/>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1" w:name="xdx_40E_eus-gaap--LongTermDebt_iI_pn3n3_"/>
            <w:bookmarkEnd w:id="781"/>
          </w:p>
        </w:tc>
      </w:tr>
      <w:tr>
        <w:trPr/>
        <w:tc>
          <w:tcPr>
            <w:tcW w:w="18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w:t>
            </w:r>
            <w:bookmarkStart w:id="782" w:name="xdx_905_eus-gaap--DebtInstrumentTerm_dtY"/>
            <w:bookmarkEnd w:id="782"/>
            <w:r>
              <w:rPr>
                <w:rFonts w:ascii="Times New Roman;Times;Serif" w:hAnsi="Times New Roman;Times;Serif"/>
                <w:b w:val="false"/>
                <w:i w:val="false"/>
                <w:caps w:val="false"/>
                <w:smallCaps w:val="false"/>
                <w:sz w:val="20"/>
              </w:rPr>
              <w:t>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83" w:name="xdx_90B_eus-gaap--DebtInstrumentInterest"/>
            <w:bookmarkEnd w:id="783"/>
            <w:r>
              <w:rPr>
                <w:rFonts w:ascii="Times New Roman;Times;Serif" w:hAnsi="Times New Roman;Times;Serif"/>
                <w:b w:val="false"/>
                <w:i w:val="false"/>
                <w:caps w:val="false"/>
                <w:smallCaps w:val="false"/>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4" w:name="xdx_406_eus-gaap--LongTermDebt_iI_pn3n3_"/>
            <w:bookmarkEnd w:id="784"/>
          </w:p>
        </w:tc>
      </w:tr>
      <w:tr>
        <w:trPr/>
        <w:tc>
          <w:tcPr>
            <w:tcW w:w="18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Bills payable (Note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5" w:name="xdx_409_eus-gaap--LongTermDebt_iI_pn3n3_"/>
            <w:bookmarkEnd w:id="785"/>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6" w:name="xdx_40F_eus-gaap--LongTermDebtCurrent_iI"/>
            <w:bookmarkEnd w:id="786"/>
          </w:p>
        </w:tc>
      </w:tr>
      <w:tr>
        <w:trPr/>
        <w:tc>
          <w:tcPr>
            <w:tcW w:w="18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12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7" w:name="xdx_408_eus-gaap--LongTermDebtNoncurrent"/>
            <w:bookmarkEnd w:id="787"/>
          </w:p>
        </w:tc>
      </w:tr>
      <w:tr>
        <w:trPr/>
        <w:tc>
          <w:tcPr>
            <w:tcW w:w="18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8" w:name="xdx_401_eus-gaap--LongTermDebt_iI_pn3n3_"/>
            <w:bookmarkEnd w:id="788"/>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89" w:name="xdx_8A0_zI4H92wVRmva"/>
      <w:bookmarkEnd w:id="7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These bills payable are short-term credit facilities granted by local banks to us in the amount of up to in aggregate of S$</w:t>
      </w:r>
      <w:bookmarkStart w:id="790" w:name="xdx_906_eus-gaap--LineOfCreditFacilityCa"/>
      <w:bookmarkEnd w:id="790"/>
      <w:r>
        <w:rPr>
          <w:rFonts w:ascii="Times New Roman;Times;Serif" w:hAnsi="Times New Roman;Times;Serif"/>
          <w:b w:val="false"/>
          <w:i w:val="false"/>
          <w:caps w:val="false"/>
          <w:smallCaps w:val="false"/>
          <w:sz w:val="20"/>
        </w:rPr>
        <w:t>23.5 million and is up to 180 days for financing the purchase of equipment and machinery.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term loan was obtained from a financial institution in Singapore, which bear annual interest at a fixed rate at </w:t>
      </w:r>
      <w:bookmarkStart w:id="791" w:name="xdx_904_eus-gaap--DebtInstrumentInterest"/>
      <w:bookmarkEnd w:id="791"/>
      <w:r>
        <w:rPr>
          <w:rFonts w:ascii="Times New Roman;Times;Serif" w:hAnsi="Times New Roman;Times;Serif"/>
          <w:b w:val="false"/>
          <w:i w:val="false"/>
          <w:caps w:val="false"/>
          <w:smallCaps w:val="false"/>
          <w:sz w:val="20"/>
        </w:rPr>
        <w:t xml:space="preserve">3.0% and are repayable within </w:t>
      </w:r>
      <w:bookmarkStart w:id="792" w:name="xdx_902_eus-gaap--DebtInstrumentTerm_dtY"/>
      <w:bookmarkEnd w:id="792"/>
      <w:r>
        <w:rPr>
          <w:rFonts w:ascii="Times New Roman;Times;Serif" w:hAnsi="Times New Roman;Times;Serif"/>
          <w:b w:val="false"/>
          <w:i w:val="false"/>
          <w:caps w:val="false"/>
          <w:smallCaps w:val="false"/>
          <w:sz w:val="20"/>
        </w:rPr>
        <w:t>5 years. Term loan was fully repaid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bank borrowing and banker’s guarantee of S$</w:t>
      </w:r>
      <w:bookmarkStart w:id="793" w:name="xdx_908_eus-gaap--ShortTermBorrowings_iI"/>
      <w:bookmarkEnd w:id="793"/>
      <w:r>
        <w:rPr>
          <w:rFonts w:ascii="Times New Roman;Times;Serif" w:hAnsi="Times New Roman;Times;Serif"/>
          <w:b w:val="false"/>
          <w:i w:val="false"/>
          <w:caps w:val="false"/>
          <w:smallCaps w:val="false"/>
          <w:sz w:val="20"/>
        </w:rPr>
        <w:t>749,960 (2024: S$</w:t>
      </w:r>
      <w:bookmarkStart w:id="794" w:name="xdx_902_eus-gaap--ShortTermBorrowings_iI"/>
      <w:bookmarkEnd w:id="794"/>
      <w:r>
        <w:rPr>
          <w:rFonts w:ascii="Times New Roman;Times;Serif" w:hAnsi="Times New Roman;Times;Serif"/>
          <w:b w:val="false"/>
          <w:i w:val="false"/>
          <w:caps w:val="false"/>
          <w:smallCaps w:val="false"/>
          <w:sz w:val="20"/>
        </w:rPr>
        <w:t>411,740) are guaranteed under a personal guarantee from Mr Jison Lim and under a corporate guarantee from Ten-League Corporations Pte Ltd.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5" w:name="xdx_804_eus-gaap--LesseeOperatingLeasesT"/>
      <w:bookmarkEnd w:id="795"/>
      <w:r>
        <w:rPr>
          <w:rFonts w:ascii="Times New Roman;Times;Serif" w:hAnsi="Times New Roman;Times;Serif"/>
          <w:b/>
          <w:i w:val="false"/>
          <w:caps w:val="false"/>
          <w:smallCaps w:val="false"/>
          <w:sz w:val="20"/>
        </w:rPr>
        <w:t xml:space="preserve">NOTE 12 – </w:t>
      </w:r>
      <w:bookmarkStart w:id="796" w:name="xdx_828_zJ554iiHISVk"/>
      <w:bookmarkEnd w:id="796"/>
      <w:r>
        <w:rPr>
          <w:rFonts w:ascii="Times New Roman;Times;Serif" w:hAnsi="Times New Roman;Times;Serif"/>
          <w:b/>
          <w:i w:val="false"/>
          <w:caps w:val="false"/>
          <w:smallCaps w:val="false"/>
          <w:sz w:val="20"/>
        </w:rPr>
        <w:t>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contracts for machinery and equipment and factory premises. The lease agreements do not impose any covenants, but lease assets may not be used as security for borrowing purposes. Lease contract for factory premises expired on December 31, 2025. The movement in the carrying amount of lease liabilities are as follows:</w:t>
      </w:r>
    </w:p>
    <w:p>
      <w:pPr>
        <w:pStyle w:val="TextBody"/>
        <w:bidi w:val="0"/>
        <w:spacing w:before="0" w:after="0"/>
        <w:ind w:left="0" w:right="0" w:hanging="0"/>
        <w:jc w:val="both"/>
        <w:rPr>
          <w:caps w:val="false"/>
          <w:smallCaps w:val="false"/>
        </w:rPr>
      </w:pPr>
      <w:bookmarkStart w:id="797" w:name="xdx_894_ecustom--ScheduleOfCarryingAmoun"/>
      <w:bookmarkEnd w:id="797"/>
      <w:r>
        <w:rPr>
          <w:caps w:val="false"/>
          <w:smallCaps w:val="false"/>
        </w:rPr>
        <w:t> </w:t>
      </w:r>
      <w:bookmarkStart w:id="798" w:name="xdx_8B9_zGdI0ushZyXc"/>
      <w:bookmarkEnd w:id="798"/>
      <w:r>
        <w:rPr>
          <w:rFonts w:ascii="Times New Roman;Times;Serif" w:hAnsi="Times New Roman;Times;Serif"/>
          <w:b w:val="false"/>
          <w:i w:val="false"/>
          <w:caps w:val="false"/>
          <w:smallCaps w:val="false"/>
          <w:sz w:val="20"/>
        </w:rPr>
        <w:t>SCHEDULE OF LEASE LIABILITIES</w:t>
      </w:r>
    </w:p>
    <w:tbl>
      <w:tblPr>
        <w:tblW w:w="4748" w:type="dxa"/>
        <w:jc w:val="left"/>
        <w:tblInd w:w="0" w:type="dxa"/>
        <w:tblLayout w:type="fixed"/>
        <w:tblCellMar>
          <w:top w:w="0" w:type="dxa"/>
          <w:left w:w="0" w:type="dxa"/>
          <w:bottom w:w="0" w:type="dxa"/>
          <w:right w:w="0" w:type="dxa"/>
        </w:tblCellMar>
      </w:tblPr>
      <w:tblGrid>
        <w:gridCol w:w="2255"/>
        <w:gridCol w:w="60"/>
        <w:gridCol w:w="99"/>
        <w:gridCol w:w="1000"/>
        <w:gridCol w:w="80"/>
        <w:gridCol w:w="60"/>
        <w:gridCol w:w="99"/>
        <w:gridCol w:w="1000"/>
        <w:gridCol w:w="95"/>
      </w:tblGrid>
      <w:tr>
        <w:trPr/>
        <w:tc>
          <w:tcPr>
            <w:tcW w:w="22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99" w:name="xdx_49B_20240101__20241231_z4tqFEj8eMu3"/>
            <w:bookmarkEnd w:id="799"/>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00" w:name="xdx_497_20250101__20251231_zu7De25taiSi"/>
            <w:bookmarkEnd w:id="800"/>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1" w:name="xdx_40C_ecustom--OperatingAndFinanceLeas"/>
            <w:bookmarkEnd w:id="801"/>
          </w:p>
        </w:tc>
      </w:tr>
      <w:tr>
        <w:trPr/>
        <w:tc>
          <w:tcPr>
            <w:tcW w:w="22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beginning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2" w:name="xdx_408_eus-gaap--IncreaseDecreaseInOper"/>
            <w:bookmarkEnd w:id="802"/>
          </w:p>
        </w:tc>
      </w:tr>
      <w:tr>
        <w:trPr/>
        <w:tc>
          <w:tcPr>
            <w:tcW w:w="22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3" w:name="xdx_40F_ecustom--DerecognisedDuringYear_"/>
            <w:bookmarkEnd w:id="803"/>
          </w:p>
        </w:tc>
      </w:tr>
      <w:tr>
        <w:trPr/>
        <w:tc>
          <w:tcPr>
            <w:tcW w:w="22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De-recognised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04" w:name="xdx_40B_eus-gaap--FinanceLeaseInterestEx"/>
            <w:bookmarkEnd w:id="804"/>
          </w:p>
        </w:tc>
      </w:tr>
      <w:tr>
        <w:trPr/>
        <w:tc>
          <w:tcPr>
            <w:tcW w:w="22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5" w:name="xdx_40A_eus-gaap--OperatingLeasePayments"/>
            <w:bookmarkEnd w:id="805"/>
          </w:p>
        </w:tc>
      </w:tr>
      <w:tr>
        <w:trPr/>
        <w:tc>
          <w:tcPr>
            <w:tcW w:w="22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06" w:name="xdx_40F_ecustom--OperatingAndFinanceLeas"/>
            <w:bookmarkEnd w:id="806"/>
          </w:p>
        </w:tc>
      </w:tr>
      <w:tr>
        <w:trPr/>
        <w:tc>
          <w:tcPr>
            <w:tcW w:w="22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ending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07" w:name="xdx_8A1_z9QyQg4p5AIe"/>
      <w:bookmarkEnd w:id="8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8" w:name="xdx_89D_ecustom--ScheduleOfLeaseLiabilit"/>
      <w:bookmarkEnd w:id="808"/>
      <w:r>
        <w:rPr>
          <w:rFonts w:ascii="Times New Roman;Times;Serif" w:hAnsi="Times New Roman;Times;Serif"/>
          <w:b w:val="false"/>
          <w:i w:val="false"/>
          <w:caps w:val="false"/>
          <w:smallCaps w:val="false"/>
          <w:sz w:val="20"/>
        </w:rPr>
        <w:t>Lease liabilities are presented in the statement of financial position as follows:</w:t>
      </w:r>
    </w:p>
    <w:p>
      <w:pPr>
        <w:pStyle w:val="TextBody"/>
        <w:bidi w:val="0"/>
        <w:spacing w:before="0" w:after="0"/>
        <w:ind w:left="0" w:right="0" w:hanging="0"/>
        <w:jc w:val="both"/>
        <w:rPr>
          <w:caps w:val="false"/>
          <w:smallCaps w:val="false"/>
        </w:rPr>
      </w:pPr>
      <w:r>
        <w:rPr>
          <w:caps w:val="false"/>
          <w:smallCaps w:val="false"/>
        </w:rPr>
        <w:t> </w:t>
      </w:r>
      <w:bookmarkStart w:id="809" w:name="xdx_8B5_z0zPfdyDgMl2"/>
      <w:bookmarkEnd w:id="809"/>
      <w:r>
        <w:rPr>
          <w:rFonts w:ascii="Times New Roman;Times;Serif" w:hAnsi="Times New Roman;Times;Serif"/>
          <w:b w:val="false"/>
          <w:i w:val="false"/>
          <w:caps w:val="false"/>
          <w:smallCaps w:val="false"/>
          <w:sz w:val="20"/>
        </w:rPr>
        <w:t>SCHEDULE OF LEASE LIABILITIES IN FINANCIAL POSITION</w:t>
      </w:r>
    </w:p>
    <w:tbl>
      <w:tblPr>
        <w:tblW w:w="4813" w:type="dxa"/>
        <w:jc w:val="left"/>
        <w:tblInd w:w="0" w:type="dxa"/>
        <w:tblLayout w:type="fixed"/>
        <w:tblCellMar>
          <w:top w:w="0" w:type="dxa"/>
          <w:left w:w="0" w:type="dxa"/>
          <w:bottom w:w="0" w:type="dxa"/>
          <w:right w:w="0" w:type="dxa"/>
        </w:tblCellMar>
      </w:tblPr>
      <w:tblGrid>
        <w:gridCol w:w="2360"/>
        <w:gridCol w:w="60"/>
        <w:gridCol w:w="99"/>
        <w:gridCol w:w="1000"/>
        <w:gridCol w:w="60"/>
        <w:gridCol w:w="60"/>
        <w:gridCol w:w="99"/>
        <w:gridCol w:w="1000"/>
        <w:gridCol w:w="75"/>
      </w:tblGrid>
      <w:tr>
        <w:trPr/>
        <w:tc>
          <w:tcPr>
            <w:tcW w:w="23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10" w:name="xdx_49A_20241231_zogvtptJxEr2"/>
            <w:bookmarkEnd w:id="810"/>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11" w:name="xdx_49F_20251231_zeYNClRHrrT4"/>
            <w:bookmarkEnd w:id="811"/>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2" w:name="xdx_40E_ecustom--OperatingAndFinanceLeas"/>
            <w:bookmarkEnd w:id="812"/>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3" w:name="xdx_40D_ecustom--OperatingAndFinanceLeas"/>
            <w:bookmarkEnd w:id="813"/>
          </w:p>
        </w:tc>
      </w:tr>
      <w:tr>
        <w:trPr/>
        <w:tc>
          <w:tcPr>
            <w:tcW w:w="23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4" w:name="xdx_408_ecustom--OperatingAndFinanceLeas"/>
            <w:bookmarkEnd w:id="814"/>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15" w:name="xdx_8A5_zW6EdxNZe1oh"/>
      <w:bookmarkEnd w:id="8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6" w:name="xdx_809_ecustom--DeferredTaxLiabilitiesT"/>
      <w:bookmarkEnd w:id="816"/>
      <w:r>
        <w:rPr>
          <w:rFonts w:ascii="Times New Roman;Times;Serif" w:hAnsi="Times New Roman;Times;Serif"/>
          <w:b/>
          <w:i w:val="false"/>
          <w:caps w:val="false"/>
          <w:smallCaps w:val="false"/>
          <w:sz w:val="20"/>
        </w:rPr>
        <w:t xml:space="preserve">NOTE 13 – </w:t>
      </w:r>
      <w:bookmarkStart w:id="817" w:name="xdx_829_zeQ932IGsk0l"/>
      <w:bookmarkEnd w:id="817"/>
      <w:r>
        <w:rPr>
          <w:rFonts w:ascii="Times New Roman;Times;Serif" w:hAnsi="Times New Roman;Times;Serif"/>
          <w:b/>
          <w:i w:val="false"/>
          <w:caps w:val="false"/>
          <w:smallCaps w:val="false"/>
          <w:sz w:val="20"/>
        </w:rPr>
        <w:t>DEFERRED TAX LIABILITIES</w:t>
      </w:r>
    </w:p>
    <w:p>
      <w:pPr>
        <w:pStyle w:val="TextBody"/>
        <w:bidi w:val="0"/>
        <w:spacing w:before="0" w:after="0"/>
        <w:ind w:left="0" w:right="0" w:hanging="0"/>
        <w:jc w:val="both"/>
        <w:rPr>
          <w:caps w:val="false"/>
          <w:smallCaps w:val="false"/>
        </w:rPr>
      </w:pPr>
      <w:bookmarkStart w:id="818" w:name="xdx_89D_ecustom--ScheduleOfDeferredTaxLi"/>
      <w:bookmarkEnd w:id="818"/>
      <w:r>
        <w:rPr>
          <w:caps w:val="false"/>
          <w:smallCaps w:val="false"/>
        </w:rPr>
        <w:t> </w:t>
      </w:r>
      <w:bookmarkStart w:id="819" w:name="xdx_8B8_zkzMuamOPIf1"/>
      <w:bookmarkEnd w:id="819"/>
      <w:r>
        <w:rPr>
          <w:rFonts w:ascii="Times New Roman;Times;Serif" w:hAnsi="Times New Roman;Times;Serif"/>
          <w:b w:val="false"/>
          <w:i w:val="false"/>
          <w:caps w:val="false"/>
          <w:smallCaps w:val="false"/>
          <w:sz w:val="20"/>
        </w:rPr>
        <w:t>SCHEDULE OF DEFERRED TAX LIABILITIES</w:t>
      </w:r>
    </w:p>
    <w:tbl>
      <w:tblPr>
        <w:tblW w:w="6662" w:type="dxa"/>
        <w:jc w:val="left"/>
        <w:tblInd w:w="0" w:type="dxa"/>
        <w:tblLayout w:type="fixed"/>
        <w:tblCellMar>
          <w:top w:w="0" w:type="dxa"/>
          <w:left w:w="0" w:type="dxa"/>
          <w:bottom w:w="0" w:type="dxa"/>
          <w:right w:w="0" w:type="dxa"/>
        </w:tblCellMar>
      </w:tblPr>
      <w:tblGrid>
        <w:gridCol w:w="2780"/>
        <w:gridCol w:w="60"/>
        <w:gridCol w:w="126"/>
        <w:gridCol w:w="1183"/>
        <w:gridCol w:w="60"/>
        <w:gridCol w:w="60"/>
        <w:gridCol w:w="99"/>
        <w:gridCol w:w="1000"/>
        <w:gridCol w:w="60"/>
        <w:gridCol w:w="60"/>
        <w:gridCol w:w="99"/>
        <w:gridCol w:w="1000"/>
        <w:gridCol w:w="75"/>
      </w:tblGrid>
      <w:tr>
        <w:trPr/>
        <w:tc>
          <w:tcPr>
            <w:tcW w:w="27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20" w:name="xdx_49A_20230101__20231231_zItwX2wzycB3"/>
            <w:bookmarkEnd w:id="820"/>
          </w:p>
        </w:tc>
        <w:tc>
          <w:tcPr>
            <w:tcW w:w="1309" w:type="dxa"/>
            <w:gridSpan w:val="2"/>
            <w:tcBorders>
              <w:bottom w:val="single" w:sz="8" w:space="0" w:color="000000"/>
            </w:tcBorders>
            <w:tcMar>
              <w:bottom w:w="28" w:type="dxa"/>
            </w:tcMar>
            <w:vAlign w:val="center"/>
          </w:tcPr>
          <w:p>
            <w:pPr>
              <w:pStyle w:val="TableContents"/>
              <w:bidi w:val="0"/>
              <w:spacing w:before="0" w:after="283"/>
              <w:jc w:val="center"/>
              <w:rPr/>
            </w:pPr>
            <w:r>
              <w:rPr/>
              <w:t>As of</w:t>
              <w:br/>
              <w:t>Dec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1" w:name="xdx_496_20240101__20241231_zUNwEXGe5Uqa"/>
            <w:bookmarkEnd w:id="821"/>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22" w:name="xdx_49C_20250101__20251231_zT42IDOOBAr9"/>
            <w:bookmarkEnd w:id="822"/>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shd w:fill="FFFFFF" w:val="clear"/>
            <w:vAlign w:val="center"/>
          </w:tcPr>
          <w:p>
            <w:pPr>
              <w:pStyle w:val="TableContents"/>
              <w:bidi w:val="0"/>
              <w:spacing w:before="0" w:after="283"/>
              <w:jc w:val="center"/>
              <w:rPr/>
            </w:pPr>
            <w:r>
              <w:rPr/>
              <w:t>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3" w:name="xdx_409_eus-gaap--DeferredTaxLiabilities"/>
            <w:bookmarkEnd w:id="823"/>
          </w:p>
        </w:tc>
      </w:tr>
      <w:tr>
        <w:trPr/>
        <w:tc>
          <w:tcPr>
            <w:tcW w:w="27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beginning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4" w:name="xdx_407_eus-gaap--IncreaseDecreaseInDefe"/>
            <w:bookmarkEnd w:id="824"/>
          </w:p>
        </w:tc>
      </w:tr>
      <w:tr>
        <w:trPr/>
        <w:tc>
          <w:tcPr>
            <w:tcW w:w="27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5" w:name="xdx_40A_eus-gaap--DeferredTaxLiabilities"/>
            <w:bookmarkEnd w:id="825"/>
          </w:p>
        </w:tc>
      </w:tr>
      <w:tr>
        <w:trPr/>
        <w:tc>
          <w:tcPr>
            <w:tcW w:w="27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ending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26" w:name="xdx_8AE_zevZzNm3PPe7"/>
      <w:bookmarkEnd w:id="8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7" w:name="xdx_893_eus-gaap--ScheduleOfDeferredTaxA"/>
      <w:bookmarkEnd w:id="827"/>
      <w:r>
        <w:rPr>
          <w:rFonts w:ascii="Times New Roman;Times;Serif" w:hAnsi="Times New Roman;Times;Serif"/>
          <w:b w:val="false"/>
          <w:i w:val="false"/>
          <w:caps w:val="false"/>
          <w:smallCaps w:val="false"/>
          <w:sz w:val="20"/>
        </w:rPr>
        <w:t>The temporary differences which give rises to the deferred income tax liability are as follows:</w:t>
      </w:r>
    </w:p>
    <w:p>
      <w:pPr>
        <w:pStyle w:val="TextBody"/>
        <w:bidi w:val="0"/>
        <w:spacing w:before="0" w:after="0"/>
        <w:ind w:left="0" w:right="0" w:firstLine="1440"/>
        <w:jc w:val="both"/>
        <w:rPr>
          <w:caps w:val="false"/>
          <w:smallCaps w:val="false"/>
        </w:rPr>
      </w:pPr>
      <w:r>
        <w:rPr>
          <w:caps w:val="false"/>
          <w:smallCaps w:val="false"/>
        </w:rPr>
        <w:t> </w:t>
      </w:r>
      <w:bookmarkStart w:id="828" w:name="xdx_8B4_zVnNdYUBbUH8"/>
      <w:bookmarkEnd w:id="828"/>
      <w:r>
        <w:rPr>
          <w:rFonts w:ascii="Times New Roman;Times;Serif" w:hAnsi="Times New Roman;Times;Serif"/>
          <w:b w:val="false"/>
          <w:i w:val="false"/>
          <w:caps w:val="false"/>
          <w:smallCaps w:val="false"/>
          <w:sz w:val="20"/>
        </w:rPr>
        <w:t>SCHEDULE OF DEFERRED INCOME TAX LIABILITY</w:t>
      </w:r>
    </w:p>
    <w:tbl>
      <w:tblPr>
        <w:tblW w:w="6233" w:type="dxa"/>
        <w:jc w:val="left"/>
        <w:tblInd w:w="0" w:type="dxa"/>
        <w:tblLayout w:type="fixed"/>
        <w:tblCellMar>
          <w:top w:w="0" w:type="dxa"/>
          <w:left w:w="0" w:type="dxa"/>
          <w:bottom w:w="0" w:type="dxa"/>
          <w:right w:w="0" w:type="dxa"/>
        </w:tblCellMar>
      </w:tblPr>
      <w:tblGrid>
        <w:gridCol w:w="3740"/>
        <w:gridCol w:w="60"/>
        <w:gridCol w:w="92"/>
        <w:gridCol w:w="1007"/>
        <w:gridCol w:w="80"/>
        <w:gridCol w:w="60"/>
        <w:gridCol w:w="92"/>
        <w:gridCol w:w="1007"/>
        <w:gridCol w:w="95"/>
      </w:tblGrid>
      <w:tr>
        <w:trPr/>
        <w:tc>
          <w:tcPr>
            <w:tcW w:w="37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29" w:name="xdx_49C_20241231_zJRtePhB2LD1"/>
            <w:bookmarkEnd w:id="829"/>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30" w:name="xdx_494_20251231_zZGfWTDceFQ5"/>
            <w:bookmarkEnd w:id="830"/>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1" w:name="xdx_405_eus-gaap--DeferredTaxAssetsPrope"/>
            <w:bookmarkEnd w:id="831"/>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book value of fixed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32" w:name="xdx_40B_ecustom--DeferredTaxAssetsRightO"/>
            <w:bookmarkEnd w:id="832"/>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book value of ROUA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3" w:name="xdx_409_ecustom--DeferredTaxLiabilitiesR"/>
            <w:bookmarkEnd w:id="833"/>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(ROUA)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34" w:name="xdx_403_eus-gaap--DeferredTaxLiabilities"/>
            <w:bookmarkEnd w:id="834"/>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book value of non-qualifying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35" w:name="xdx_40B_ecustom--DeferredTaxAssetsLiabil"/>
            <w:bookmarkEnd w:id="835"/>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 gross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36" w:name="xdx_40C_ecustom--DeferredTaxWrittenDownV"/>
            <w:bookmarkEnd w:id="836"/>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Tax written down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37" w:name="xdx_40B_eus-gaap--DeferredTaxAssetsLiabi"/>
            <w:bookmarkEnd w:id="837"/>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8" w:name="xdx_407_eus-gaap--DeferredTaxLiabilities"/>
            <w:bookmarkEnd w:id="838"/>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tax liability @ </w:t>
            </w:r>
            <w:bookmarkStart w:id="839" w:name="xdx_909_eus-gaap--EffectiveIncomeTaxRate"/>
            <w:bookmarkEnd w:id="839"/>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both"/>
        <w:rPr>
          <w:caps w:val="false"/>
          <w:smallCaps w:val="false"/>
        </w:rPr>
      </w:pPr>
      <w:bookmarkStart w:id="840" w:name="xdx_8AD_zPC2w0i7iZha"/>
      <w:bookmarkEnd w:id="8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measured using enacted tax rates expected to apply to taxable income in the years in which temporary differences are expected to be recovered or settled. The effect of a change in tax laws or rates on deferred tax assets and liabilities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are established for uncertain tax positions expected to be taken in income tax returns when such positions are judged to meet the “more-likely-than-not” threshold based on the technical merits of the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current tax law in Singapore, the Company is and will be subjected to the enterprise income tax rate of </w:t>
      </w:r>
      <w:bookmarkStart w:id="841" w:name="xdx_902_eus-gaap--EffectiveIncomeTaxRate"/>
      <w:bookmarkEnd w:id="841"/>
      <w:r>
        <w:rPr>
          <w:rFonts w:ascii="Times New Roman;Times;Serif" w:hAnsi="Times New Roman;Times;Serif"/>
          <w:b w:val="false"/>
          <w:i w:val="false"/>
          <w:caps w:val="false"/>
          <w:smallCaps w:val="false"/>
          <w:sz w:val="20"/>
        </w:rPr>
        <w:t>17%.</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42" w:name="xdx_80F_eus-gaap--StockholdersEquityNote"/>
      <w:bookmarkEnd w:id="842"/>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14 </w:t>
      </w:r>
      <w:bookmarkStart w:id="843" w:name="xdx_820_zb5hk41wdb35"/>
      <w:bookmarkEnd w:id="843"/>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established under the laws of Cayman Islands on March 17, 2023 with authorized share of </w:t>
      </w:r>
      <w:bookmarkStart w:id="844" w:name="xdx_908_eus-gaap--CommonStockSharesAutho"/>
      <w:bookmarkEnd w:id="844"/>
      <w:r>
        <w:rPr>
          <w:rFonts w:ascii="Times New Roman;Times;Serif" w:hAnsi="Times New Roman;Times;Serif"/>
          <w:b w:val="false"/>
          <w:i w:val="false"/>
          <w:caps w:val="false"/>
          <w:smallCaps w:val="false"/>
          <w:sz w:val="20"/>
        </w:rPr>
        <w:t>500,000,000 ordinary shares of par value US$</w:t>
      </w:r>
      <w:bookmarkStart w:id="845" w:name="xdx_90D_eus-gaap--CommonStockParOrStated"/>
      <w:bookmarkEnd w:id="845"/>
      <w:r>
        <w:rPr>
          <w:rFonts w:ascii="Times New Roman;Times;Serif" w:hAnsi="Times New Roman;Times;Serif"/>
          <w:b w:val="false"/>
          <w:i w:val="false"/>
          <w:caps w:val="false"/>
          <w:smallCaps w:val="false"/>
          <w:sz w:val="20"/>
        </w:rPr>
        <w:t xml:space="preserve">0.001 each at the time of incorporation. </w:t>
      </w:r>
      <w:bookmarkStart w:id="846" w:name="xdx_903_eus-gaap--CommonStockSharesIssue"/>
      <w:bookmarkEnd w:id="846"/>
      <w:r>
        <w:rPr>
          <w:rFonts w:ascii="Times New Roman;Times;Serif" w:hAnsi="Times New Roman;Times;Serif"/>
          <w:b w:val="false"/>
          <w:i w:val="false"/>
          <w:caps w:val="false"/>
          <w:smallCaps w:val="false"/>
          <w:sz w:val="20"/>
        </w:rPr>
        <w:t xml:space="preserve">One ordinary share was issued on March 17,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has been changed to US$</w:t>
      </w:r>
      <w:bookmarkStart w:id="847" w:name="xdx_907_ecustom--ShareCapital_iI_c202402"/>
      <w:bookmarkEnd w:id="847"/>
      <w:r>
        <w:rPr>
          <w:rFonts w:ascii="Times New Roman;Times;Serif" w:hAnsi="Times New Roman;Times;Serif"/>
          <w:b w:val="false"/>
          <w:i w:val="false"/>
          <w:caps w:val="false"/>
          <w:smallCaps w:val="false"/>
          <w:sz w:val="20"/>
        </w:rPr>
        <w:t xml:space="preserve">500,000 divided into </w:t>
      </w:r>
      <w:bookmarkStart w:id="848" w:name="xdx_905_eus-gaap--CommonStockSharesAutho"/>
      <w:bookmarkEnd w:id="848"/>
      <w:r>
        <w:rPr>
          <w:rFonts w:ascii="Times New Roman;Times;Serif" w:hAnsi="Times New Roman;Times;Serif"/>
          <w:b w:val="false"/>
          <w:i w:val="false"/>
          <w:caps w:val="false"/>
          <w:smallCaps w:val="false"/>
          <w:sz w:val="20"/>
        </w:rPr>
        <w:t>20,000,000,000 ordinary shares, par value of US$</w:t>
      </w:r>
      <w:bookmarkStart w:id="849" w:name="xdx_90E_eus-gaap--CommonStockParOrStated"/>
      <w:bookmarkEnd w:id="849"/>
      <w:r>
        <w:rPr>
          <w:rFonts w:ascii="Times New Roman;Times;Serif" w:hAnsi="Times New Roman;Times;Serif"/>
          <w:b w:val="false"/>
          <w:i w:val="false"/>
          <w:caps w:val="false"/>
          <w:smallCaps w:val="false"/>
          <w:sz w:val="20"/>
        </w:rPr>
        <w:t>0.000025 each on February 16, 2024. Following the completion of the Forward Split on February 16, 2024, the </w:t>
      </w:r>
      <w:bookmarkStart w:id="850" w:name="xdx_90E_eus-gaap--CommonStockSharesOutst"/>
      <w:bookmarkStart w:id="851" w:name="xdx_903_eus-gaap--CommonStockSharesIssue"/>
      <w:bookmarkEnd w:id="850"/>
      <w:bookmarkEnd w:id="851"/>
      <w:r>
        <w:rPr>
          <w:rFonts w:ascii="Times New Roman;Times;Serif" w:hAnsi="Times New Roman;Times;Serif"/>
          <w:b w:val="false"/>
          <w:i w:val="false"/>
          <w:caps w:val="false"/>
          <w:smallCaps w:val="false"/>
          <w:sz w:val="20"/>
        </w:rPr>
        <w:t>27,796,502 ordinary shares issued and outstanding are presented on a retroactive basis for the periods presented to reflect the Reorganization completed on February 16,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w:t>
      </w:r>
      <w:bookmarkStart w:id="852" w:name="xdx_90E_eus-gaap--CommonStockSharesIssue"/>
      <w:bookmarkEnd w:id="852"/>
      <w:r>
        <w:rPr>
          <w:rFonts w:ascii="Times New Roman;Times;Serif" w:hAnsi="Times New Roman;Times;Serif"/>
          <w:b w:val="false"/>
          <w:i w:val="false"/>
          <w:caps w:val="false"/>
          <w:smallCaps w:val="false"/>
          <w:sz w:val="20"/>
        </w:rPr>
        <w:t>1,607,840 ordinary shares were issued by July 8, 2025, resulting in </w:t>
      </w:r>
      <w:bookmarkStart w:id="853" w:name="xdx_900_eus-gaap--CommonStockSharesOutst"/>
      <w:bookmarkEnd w:id="853"/>
      <w:r>
        <w:rPr>
          <w:rFonts w:ascii="Times New Roman;Times;Serif" w:hAnsi="Times New Roman;Times;Serif"/>
          <w:b w:val="false"/>
          <w:i w:val="false"/>
          <w:caps w:val="false"/>
          <w:smallCaps w:val="false"/>
          <w:sz w:val="20"/>
        </w:rPr>
        <w:t>29,404,342  ordinary shares outstanding as at December 31, 2025. The Company only has one class of ordinary shares that are accounted for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one class of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ordinary share are entitled to the following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xml:space="preserve">: </w:t>
      </w:r>
      <w:bookmarkStart w:id="854" w:name="xdx_90D_eus-gaap--CommonStockVotingRight"/>
      <w:bookmarkEnd w:id="854"/>
      <w:r>
        <w:rPr>
          <w:rFonts w:ascii="Times New Roman;Times;Serif" w:hAnsi="Times New Roman;Times;Serif"/>
          <w:b w:val="false"/>
          <w:i w:val="false"/>
          <w:caps w:val="false"/>
          <w:smallCaps w:val="false"/>
          <w:sz w:val="20"/>
        </w:rPr>
        <w:t>Each share of the Company’s ordinary share entitles its holder to one vote per share on all matters to be voted or consented upon by the stockholders. Holders of the Company’s ordinary shares are not entitled to cumulative voting rights with respect to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w:t>
      </w:r>
      <w:r>
        <w:rPr>
          <w:rFonts w:ascii="Times New Roman;Times;Serif" w:hAnsi="Times New Roman;Times;Serif"/>
          <w:b w:val="false"/>
          <w:i w:val="false"/>
          <w:caps w:val="false"/>
          <w:smallCaps w:val="false"/>
          <w:sz w:val="20"/>
        </w:rPr>
        <w:t xml:space="preserve">: </w:t>
      </w:r>
      <w:bookmarkStart w:id="855" w:name="xdx_900_eus-gaap--PreferredStockVotingRi"/>
      <w:bookmarkEnd w:id="855"/>
      <w:r>
        <w:rPr>
          <w:rFonts w:ascii="Times New Roman;Times;Serif" w:hAnsi="Times New Roman;Times;Serif"/>
          <w:b w:val="false"/>
          <w:i w:val="false"/>
          <w:caps w:val="false"/>
          <w:smallCaps w:val="false"/>
          <w:sz w:val="20"/>
        </w:rPr>
        <w:t>Subject to limitations under Cayman law and preferences that may apply to any shares of preferred stock that the Company may decide to issue in the future, holders of the Company’s ordinary share are entitled to receive ratably such dividends or other distributions, if any, as may be declared by the Board of the Company out of funds legally available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Liquidation Right</w:t>
      </w:r>
      <w:r>
        <w:rPr>
          <w:rFonts w:ascii="Times New Roman;Times;Serif" w:hAnsi="Times New Roman;Times;Serif"/>
          <w:b w:val="false"/>
          <w:i w:val="false"/>
          <w:caps w:val="false"/>
          <w:smallCaps w:val="false"/>
          <w:sz w:val="20"/>
        </w:rPr>
        <w:t>: In the event of the liquidation, dissolution or winding up of our business, the holders of the Company’s ordinary share are entitled to share ratably in the assets available for distribution after the payment of all of the debts and other liabilities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Matters</w:t>
      </w:r>
      <w:r>
        <w:rPr>
          <w:rFonts w:ascii="Times New Roman;Times;Serif" w:hAnsi="Times New Roman;Times;Serif"/>
          <w:b w:val="false"/>
          <w:i w:val="false"/>
          <w:caps w:val="false"/>
          <w:smallCaps w:val="false"/>
          <w:sz w:val="20"/>
        </w:rPr>
        <w:t>: The holders of the Company’s ordinary share have no subscription, redemption or conversion privileges. The Company’s ordinary share does not entitle its holders to preemptive rights. All of the outstanding shares of the Company’s ordinary share are fully paid and non-assessable. The rights, preferences and privileges of the holders of the Company’s ordinary share are subject to the rights of the holders of shares of any series of preferred stock which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56" w:name="xdx_802_eus-gaap--SegmentReportingDisclo"/>
      <w:bookmarkEnd w:id="856"/>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15 </w:t>
      </w:r>
      <w:bookmarkStart w:id="857" w:name="xdx_823_zXlm3yBwnYn4"/>
      <w:bookmarkEnd w:id="857"/>
      <w:r>
        <w:rPr>
          <w:rFonts w:ascii="Times New Roman;Times;Serif" w:hAnsi="Times New Roman;Times;Serif"/>
          <w:b/>
          <w:i w:val="false"/>
          <w:caps w:val="false"/>
          <w:smallCaps w:val="false"/>
          <w:sz w:val="20"/>
        </w:rPr>
        <w:t>REVENUES BY SEGMENT</w:t>
      </w:r>
    </w:p>
    <w:p>
      <w:pPr>
        <w:pStyle w:val="TextBody"/>
        <w:bidi w:val="0"/>
        <w:ind w:left="0" w:right="0" w:hanging="0"/>
        <w:jc w:val="left"/>
        <w:rPr>
          <w:caps w:val="false"/>
          <w:smallCaps w:val="false"/>
        </w:rPr>
      </w:pPr>
      <w:bookmarkStart w:id="858" w:name="xdx_89F_eus-gaap--ScheduleOfSegmentRepor"/>
      <w:bookmarkEnd w:id="858"/>
      <w:r>
        <w:rPr>
          <w:caps w:val="false"/>
          <w:smallCaps w:val="false"/>
        </w:rPr>
        <w:t> </w:t>
      </w:r>
      <w:bookmarkStart w:id="859" w:name="xdx_8B2_zSMFEQGG3ss2"/>
      <w:bookmarkEnd w:id="859"/>
      <w:r>
        <w:rPr>
          <w:rFonts w:ascii="Times New Roman;Times;Serif" w:hAnsi="Times New Roman;Times;Serif"/>
          <w:b w:val="false"/>
          <w:i w:val="false"/>
          <w:caps w:val="false"/>
          <w:smallCaps w:val="false"/>
          <w:sz w:val="20"/>
        </w:rPr>
        <w:t>SCHEDULE OF REVENUES BY SEGMENT</w:t>
      </w:r>
    </w:p>
    <w:tbl>
      <w:tblPr>
        <w:tblW w:w="6129" w:type="dxa"/>
        <w:jc w:val="left"/>
        <w:tblInd w:w="0" w:type="dxa"/>
        <w:tblLayout w:type="fixed"/>
        <w:tblCellMar>
          <w:top w:w="0" w:type="dxa"/>
          <w:left w:w="0" w:type="dxa"/>
          <w:bottom w:w="0" w:type="dxa"/>
          <w:right w:w="0" w:type="dxa"/>
        </w:tblCellMar>
      </w:tblPr>
      <w:tblGrid>
        <w:gridCol w:w="3335"/>
        <w:gridCol w:w="60"/>
        <w:gridCol w:w="70"/>
        <w:gridCol w:w="793"/>
        <w:gridCol w:w="70"/>
        <w:gridCol w:w="70"/>
        <w:gridCol w:w="70"/>
        <w:gridCol w:w="688"/>
        <w:gridCol w:w="70"/>
        <w:gridCol w:w="70"/>
        <w:gridCol w:w="70"/>
        <w:gridCol w:w="688"/>
        <w:gridCol w:w="75"/>
      </w:tblGrid>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pPr>
            <w:r>
              <w:rPr/>
              <w:t> </w:t>
            </w:r>
            <w:bookmarkStart w:id="860" w:name="xdx_495_20230101__20231231_zkytpN2WbtXh"/>
            <w:bookmarkEnd w:id="860"/>
          </w:p>
        </w:tc>
        <w:tc>
          <w:tcPr>
            <w:tcW w:w="793"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861" w:name="xdx_493_20240101__20241231_z0Yl3SJ55n15"/>
            <w:bookmarkEnd w:id="861"/>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bookmarkStart w:id="862" w:name="xdx_494_20250101__20251231_zgWsHzjTLnl"/>
            <w:bookmarkEnd w:id="862"/>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S$’000</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863" w:name="xdx_404_eus-gaap--RevenueFromContractWit"/>
            <w:bookmarkEnd w:id="863"/>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heavy equipment and parts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56,449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4" w:name="xdx_403_eus-gaap--RevenueFromContractWit"/>
            <w:bookmarkEnd w:id="864"/>
          </w:p>
        </w:tc>
      </w:tr>
      <w:tr>
        <w:trPr/>
        <w:tc>
          <w:tcPr>
            <w:tcW w:w="33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7,032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65" w:name="xdx_409_eus-gaap--RevenueFromContractWit"/>
            <w:bookmarkEnd w:id="865"/>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3" w:type="dxa"/>
            <w:tcBorders>
              <w:bottom w:val="single" w:sz="8" w:space="0" w:color="000000"/>
            </w:tcBorders>
            <w:shd w:fill="CCEEFF" w:val="clear"/>
            <w:tcMar>
              <w:bottom w:w="28" w:type="dxa"/>
            </w:tcMar>
            <w:vAlign w:val="center"/>
          </w:tcPr>
          <w:p>
            <w:pPr>
              <w:pStyle w:val="TableContents"/>
              <w:bidi w:val="0"/>
              <w:spacing w:before="0" w:after="283"/>
              <w:jc w:val="right"/>
              <w:rPr/>
            </w:pPr>
            <w:r>
              <w:rPr/>
              <w:t>9,301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6" w:name="xdx_407_eus-gaap--RevenueFromContractWit"/>
            <w:bookmarkEnd w:id="866"/>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by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jc w:val="right"/>
              <w:rPr/>
            </w:pPr>
            <w:r>
              <w:rPr/>
              <w:t>72,782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58,496</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67" w:name="xdx_8AE_zjlRSrdr7fe6"/>
      <w:bookmarkEnd w:id="8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Management, including the chief operating decision maker, reviews operation results by the revenue of different services. Based on management’s assessment, the Company has determined that it has </w:t>
      </w:r>
      <w:bookmarkStart w:id="868" w:name="xdx_908_eus-gaap--NumberOfReportableSegm"/>
      <w:bookmarkStart w:id="869" w:name="xdx_908_eus-gaap--NumberOfOperatingSegme"/>
      <w:bookmarkEnd w:id="868"/>
      <w:bookmarkEnd w:id="869"/>
      <w:r>
        <w:rPr>
          <w:rFonts w:ascii="Times New Roman;Times;Serif" w:hAnsi="Times New Roman;Times;Serif"/>
          <w:b w:val="false"/>
          <w:i w:val="false"/>
          <w:caps w:val="false"/>
          <w:smallCaps w:val="false"/>
          <w:sz w:val="20"/>
        </w:rPr>
        <w:t>three operating segments as defined by ASC 280 as follow:</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heavy equipment and parts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results of each reportable segment is included below. Performance is measured based on segment revenue and gross profit/(loss), as included in the internal management reports that are reviewed by the Company’s CODM. Both segment revenue and gross profit/(loss) are used to measure performance as management believes that such information is the most relevant in evaluating the level of activities and results of these segments.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allocate any operating costs or assets to its business segments as the Group’s CODM does not use this information to measure the performance of the 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0" w:name="xdx_895_eus-gaap--ReconciliationOfRevenu"/>
      <w:bookmarkEnd w:id="870"/>
      <w:r>
        <w:rPr>
          <w:rFonts w:ascii="Times New Roman;Times;Serif" w:hAnsi="Times New Roman;Times;Serif"/>
          <w:b w:val="false"/>
          <w:i w:val="false"/>
          <w:caps w:val="false"/>
          <w:smallCaps w:val="false"/>
          <w:sz w:val="20"/>
        </w:rPr>
        <w:t>The following tables present summary information by product type for the year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1" w:name="xdx_8BB_zD3tiKCb7aze"/>
      <w:bookmarkEnd w:id="871"/>
      <w:r>
        <w:rPr>
          <w:rFonts w:ascii="Times New Roman;Times;Serif" w:hAnsi="Times New Roman;Times;Serif"/>
          <w:b w:val="false"/>
          <w:i w:val="false"/>
          <w:caps w:val="false"/>
          <w:smallCaps w:val="false"/>
          <w:sz w:val="20"/>
        </w:rPr>
        <w:t>SUMMARY OF SEGMENT INFORMATION BY PRODUCT </w:t>
      </w:r>
    </w:p>
    <w:tbl>
      <w:tblPr>
        <w:tblW w:w="7066" w:type="dxa"/>
        <w:jc w:val="left"/>
        <w:tblInd w:w="0" w:type="dxa"/>
        <w:tblLayout w:type="fixed"/>
        <w:tblCellMar>
          <w:top w:w="0" w:type="dxa"/>
          <w:left w:w="0" w:type="dxa"/>
          <w:bottom w:w="0" w:type="dxa"/>
          <w:right w:w="0" w:type="dxa"/>
        </w:tblCellMar>
      </w:tblPr>
      <w:tblGrid>
        <w:gridCol w:w="1385"/>
        <w:gridCol w:w="60"/>
        <w:gridCol w:w="76"/>
        <w:gridCol w:w="829"/>
        <w:gridCol w:w="85"/>
        <w:gridCol w:w="64"/>
        <w:gridCol w:w="273"/>
        <w:gridCol w:w="2491"/>
        <w:gridCol w:w="85"/>
        <w:gridCol w:w="64"/>
        <w:gridCol w:w="64"/>
        <w:gridCol w:w="585"/>
        <w:gridCol w:w="85"/>
        <w:gridCol w:w="64"/>
        <w:gridCol w:w="64"/>
        <w:gridCol w:w="697"/>
        <w:gridCol w:w="95"/>
      </w:tblGrid>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872" w:name="xdx_49E_20230101__20231231__us-gaap--Sta"/>
            <w:bookmarkEnd w:id="872"/>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bookmarkStart w:id="873" w:name="xdx_498_20230101__20231231__us-gaap--Sta"/>
            <w:bookmarkEnd w:id="873"/>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bookmarkStart w:id="874" w:name="xdx_49E_20230101__20231231__us-gaap--Sta"/>
            <w:bookmarkEnd w:id="874"/>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bookmarkStart w:id="875" w:name="xdx_497_20230101__20231231_z0ANELmj6Ffi"/>
            <w:bookmarkEnd w:id="875"/>
          </w:p>
        </w:tc>
        <w:tc>
          <w:tcPr>
            <w:tcW w:w="7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2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 consultancy service</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876" w:name="xdx_402_eus-gaap--RevenueFromContractWit"/>
            <w:bookmarkEnd w:id="876"/>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56,449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7" w:name="xdx_406_eus-gaap--CostOfRevenue_iN_di_ms"/>
            <w:bookmarkEnd w:id="87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(46,352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78" w:name="xdx_408_eus-gaap--GrossProfit_z6T6lshqdo"/>
            <w:bookmarkEnd w:id="87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93" w:type="dxa"/>
        <w:jc w:val="left"/>
        <w:tblInd w:w="0" w:type="dxa"/>
        <w:tblLayout w:type="fixed"/>
        <w:tblCellMar>
          <w:top w:w="0" w:type="dxa"/>
          <w:left w:w="0" w:type="dxa"/>
          <w:bottom w:w="0" w:type="dxa"/>
          <w:right w:w="0" w:type="dxa"/>
        </w:tblCellMar>
      </w:tblPr>
      <w:tblGrid>
        <w:gridCol w:w="1385"/>
        <w:gridCol w:w="60"/>
        <w:gridCol w:w="76"/>
        <w:gridCol w:w="829"/>
        <w:gridCol w:w="84"/>
        <w:gridCol w:w="63"/>
        <w:gridCol w:w="106"/>
        <w:gridCol w:w="964"/>
        <w:gridCol w:w="84"/>
        <w:gridCol w:w="63"/>
        <w:gridCol w:w="63"/>
        <w:gridCol w:w="624"/>
        <w:gridCol w:w="84"/>
        <w:gridCol w:w="63"/>
        <w:gridCol w:w="63"/>
        <w:gridCol w:w="687"/>
        <w:gridCol w:w="95"/>
      </w:tblGrid>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879" w:name="xdx_49B_20240101__20241231__us-gaap--Sta"/>
            <w:bookmarkEnd w:id="879"/>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0" w:name="xdx_499_20240101__20241231__us-gaap--Sta"/>
            <w:bookmarkEnd w:id="880"/>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1" w:name="xdx_49E_20240101__20241231__us-gaap--Sta"/>
            <w:bookmarkEnd w:id="881"/>
          </w:p>
        </w:tc>
        <w:tc>
          <w:tcPr>
            <w:tcW w:w="6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2" w:name="xdx_490_20240101__20241231_z2wil6M1f0m4"/>
            <w:bookmarkEnd w:id="882"/>
          </w:p>
        </w:tc>
        <w:tc>
          <w:tcPr>
            <w:tcW w:w="7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  </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883" w:name="xdx_402_eus-gaap--RevenueFromContractWit"/>
            <w:bookmarkEnd w:id="883"/>
          </w:p>
        </w:tc>
      </w:tr>
      <w:tr>
        <w:trPr/>
        <w:tc>
          <w:tcPr>
            <w:tcW w:w="13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4" w:name="xdx_406_eus-gaap--CostOfRevenue_iN_di_ms"/>
            <w:bookmarkEnd w:id="884"/>
          </w:p>
        </w:tc>
      </w:tr>
      <w:tr>
        <w:trPr/>
        <w:tc>
          <w:tcPr>
            <w:tcW w:w="13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(41,489</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(4,921</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85" w:name="xdx_408_eus-gaap--GrossProfit_zFmUv1goy0"/>
            <w:bookmarkEnd w:id="885"/>
          </w:p>
        </w:tc>
      </w:tr>
      <w:tr>
        <w:trPr/>
        <w:tc>
          <w:tcPr>
            <w:tcW w:w="13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394" w:type="dxa"/>
        <w:jc w:val="left"/>
        <w:tblInd w:w="0" w:type="dxa"/>
        <w:tblLayout w:type="fixed"/>
        <w:tblCellMar>
          <w:top w:w="0" w:type="dxa"/>
          <w:left w:w="0" w:type="dxa"/>
          <w:bottom w:w="0" w:type="dxa"/>
          <w:right w:w="0" w:type="dxa"/>
        </w:tblCellMar>
      </w:tblPr>
      <w:tblGrid>
        <w:gridCol w:w="1385"/>
        <w:gridCol w:w="60"/>
        <w:gridCol w:w="76"/>
        <w:gridCol w:w="829"/>
        <w:gridCol w:w="84"/>
        <w:gridCol w:w="63"/>
        <w:gridCol w:w="117"/>
        <w:gridCol w:w="953"/>
        <w:gridCol w:w="84"/>
        <w:gridCol w:w="63"/>
        <w:gridCol w:w="63"/>
        <w:gridCol w:w="624"/>
        <w:gridCol w:w="84"/>
        <w:gridCol w:w="63"/>
        <w:gridCol w:w="63"/>
        <w:gridCol w:w="688"/>
        <w:gridCol w:w="95"/>
      </w:tblGrid>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886" w:name="xdx_496_20250101__20251231__us-gaap--Sta"/>
            <w:bookmarkEnd w:id="886"/>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7" w:name="xdx_497_20250101__20251231__us-gaap--Sta"/>
            <w:bookmarkEnd w:id="887"/>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8" w:name="xdx_49D_20250101__20251231__us-gaap--Sta"/>
            <w:bookmarkEnd w:id="888"/>
          </w:p>
        </w:tc>
        <w:tc>
          <w:tcPr>
            <w:tcW w:w="6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bookmarkStart w:id="889" w:name="xdx_49D_20250101__20251231_zWyFiJJNsi24"/>
            <w:bookmarkEnd w:id="889"/>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5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890" w:name="xdx_402_eus-gaap--RevenueFromContractWit"/>
            <w:bookmarkEnd w:id="890"/>
          </w:p>
        </w:tc>
      </w:tr>
      <w:tr>
        <w:trPr/>
        <w:tc>
          <w:tcPr>
            <w:tcW w:w="13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891" w:name="xdx_406_eus-gaap--CostOfRevenue_iN_di_ms"/>
            <w:bookmarkEnd w:id="891"/>
          </w:p>
        </w:tc>
      </w:tr>
      <w:tr>
        <w:trPr/>
        <w:tc>
          <w:tcPr>
            <w:tcW w:w="13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(51,939</w:t>
            </w:r>
          </w:p>
        </w:tc>
        <w:tc>
          <w:tcPr>
            <w:tcW w:w="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(57,562</w:t>
            </w:r>
          </w:p>
        </w:tc>
        <w:tc>
          <w:tcPr>
            <w:tcW w:w="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2" w:name="xdx_408_eus-gaap--GrossProfit_zVJmvzUCGY"/>
            <w:bookmarkEnd w:id="892"/>
          </w:p>
        </w:tc>
      </w:tr>
      <w:tr>
        <w:trPr/>
        <w:tc>
          <w:tcPr>
            <w:tcW w:w="13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9,295</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7,763</w:t>
            </w:r>
          </w:p>
        </w:tc>
        <w:tc>
          <w:tcPr>
            <w:tcW w:w="8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18,616</w:t>
            </w:r>
          </w:p>
        </w:tc>
        <w:tc>
          <w:tcPr>
            <w:tcW w:w="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93" w:name="xdx_8AD_znQXsLab8IU6"/>
      <w:bookmarkEnd w:id="8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4" w:name="xdx_896_ecustom--ScheduleOfDisaggregatio"/>
      <w:bookmarkEnd w:id="894"/>
      <w:r>
        <w:rPr>
          <w:rFonts w:ascii="Times New Roman;Times;Serif" w:hAnsi="Times New Roman;Times;Serif"/>
          <w:b w:val="false"/>
          <w:i w:val="false"/>
          <w:caps w:val="false"/>
          <w:smallCaps w:val="false"/>
          <w:sz w:val="20"/>
        </w:rPr>
        <w:t>In the following table, revenue is disaggregated by the timing of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5" w:name="xdx_8B8_zHKX0FVxzql2"/>
      <w:bookmarkEnd w:id="895"/>
      <w:r>
        <w:rPr>
          <w:rFonts w:ascii="Times New Roman;Times;Serif" w:hAnsi="Times New Roman;Times;Serif"/>
          <w:b w:val="false"/>
          <w:i w:val="false"/>
          <w:caps w:val="false"/>
          <w:smallCaps w:val="false"/>
          <w:sz w:val="20"/>
        </w:rPr>
        <w:t>SCHEDULE OF REVENUE DISAGGREGATED BY TIMING OF REVENUE RECOGNITION </w:t>
      </w:r>
    </w:p>
    <w:tbl>
      <w:tblPr>
        <w:tblW w:w="8227" w:type="dxa"/>
        <w:jc w:val="left"/>
        <w:tblInd w:w="0" w:type="dxa"/>
        <w:tblLayout w:type="fixed"/>
        <w:tblCellMar>
          <w:top w:w="0" w:type="dxa"/>
          <w:left w:w="0" w:type="dxa"/>
          <w:bottom w:w="0" w:type="dxa"/>
          <w:right w:w="0" w:type="dxa"/>
        </w:tblCellMar>
      </w:tblPr>
      <w:tblGrid>
        <w:gridCol w:w="2585"/>
        <w:gridCol w:w="60"/>
        <w:gridCol w:w="83"/>
        <w:gridCol w:w="822"/>
        <w:gridCol w:w="68"/>
        <w:gridCol w:w="68"/>
        <w:gridCol w:w="302"/>
        <w:gridCol w:w="2462"/>
        <w:gridCol w:w="68"/>
        <w:gridCol w:w="68"/>
        <w:gridCol w:w="75"/>
        <w:gridCol w:w="614"/>
        <w:gridCol w:w="68"/>
        <w:gridCol w:w="68"/>
        <w:gridCol w:w="68"/>
        <w:gridCol w:w="673"/>
        <w:gridCol w:w="75"/>
      </w:tblGrid>
      <w:tr>
        <w:trPr/>
        <w:tc>
          <w:tcPr>
            <w:tcW w:w="25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896" w:name="xdx_496_20230101__20231231__us-gaap--Sta"/>
            <w:bookmarkEnd w:id="896"/>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bookmarkStart w:id="897" w:name="xdx_49A_20230101__20231231__us-gaap--Sta"/>
            <w:bookmarkEnd w:id="897"/>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bookmarkStart w:id="898" w:name="xdx_49A_20230101__20231231__us-gaap--Sta"/>
            <w:bookmarkEnd w:id="898"/>
          </w:p>
        </w:tc>
        <w:tc>
          <w:tcPr>
            <w:tcW w:w="6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bookmarkStart w:id="899" w:name="xdx_499_20230101__20231231_zrOPTQCBtZK2"/>
            <w:bookmarkEnd w:id="899"/>
          </w:p>
        </w:tc>
        <w:tc>
          <w:tcPr>
            <w:tcW w:w="7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 consultancy service</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7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7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Timing of revenue recognition: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0" w:name="xdx_40E_eus-gaap--RevenueFromContractWit"/>
            <w:bookmarkEnd w:id="900"/>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56,449</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1" w:name="xdx_408_eus-gaap--RevenueFromContractWit"/>
            <w:bookmarkEnd w:id="901"/>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2" w:name="xdx_40E_eus-gaap--Revenues_maGPznI9_zXPS"/>
            <w:bookmarkEnd w:id="902"/>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56,449</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2585"/>
        <w:gridCol w:w="60"/>
        <w:gridCol w:w="73"/>
        <w:gridCol w:w="832"/>
        <w:gridCol w:w="61"/>
        <w:gridCol w:w="61"/>
        <w:gridCol w:w="103"/>
        <w:gridCol w:w="967"/>
        <w:gridCol w:w="61"/>
        <w:gridCol w:w="61"/>
        <w:gridCol w:w="61"/>
        <w:gridCol w:w="695"/>
        <w:gridCol w:w="61"/>
        <w:gridCol w:w="61"/>
        <w:gridCol w:w="61"/>
        <w:gridCol w:w="695"/>
        <w:gridCol w:w="75"/>
      </w:tblGrid>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03" w:name="xdx_490_20240101__20241231__us-gaap--Sta"/>
            <w:bookmarkEnd w:id="903"/>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bookmarkStart w:id="904" w:name="xdx_491_20240101__20241231__us-gaap--Sta"/>
            <w:bookmarkEnd w:id="904"/>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bookmarkStart w:id="905" w:name="xdx_496_20240101__20241231__us-gaap--Sta"/>
            <w:bookmarkEnd w:id="905"/>
          </w:p>
        </w:tc>
        <w:tc>
          <w:tcPr>
            <w:tcW w:w="7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bookmarkStart w:id="906" w:name="xdx_492_20240101__20241231_zgZbaB1CXZHa"/>
            <w:bookmarkEnd w:id="906"/>
          </w:p>
        </w:tc>
        <w:tc>
          <w:tcPr>
            <w:tcW w:w="7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75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7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7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Timing of revenue recognition:</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907" w:name="xdx_40E_eus-gaap--RevenueFromContractWit"/>
            <w:bookmarkEnd w:id="907"/>
          </w:p>
        </w:tc>
      </w:tr>
      <w:tr>
        <w:trPr/>
        <w:tc>
          <w:tcPr>
            <w:tcW w:w="2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47,953</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908" w:name="xdx_408_eus-gaap--RevenueFromContractWit"/>
            <w:bookmarkEnd w:id="908"/>
          </w:p>
        </w:tc>
      </w:tr>
      <w:tr>
        <w:trPr/>
        <w:tc>
          <w:tcPr>
            <w:tcW w:w="25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10,543</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909" w:name="xdx_40E_eus-gaap--Revenues_maGPznI9_zAgh"/>
            <w:bookmarkEnd w:id="909"/>
          </w:p>
        </w:tc>
      </w:tr>
      <w:tr>
        <w:trPr/>
        <w:tc>
          <w:tcPr>
            <w:tcW w:w="2585" w:type="dxa"/>
            <w:tcBorders/>
            <w:shd w:fill="FFFFFF" w:val="clear"/>
            <w:vAlign w:val="center"/>
          </w:tcPr>
          <w:p>
            <w:pPr>
              <w:pStyle w:val="TableContents"/>
              <w:bidi w:val="0"/>
              <w:spacing w:before="0" w:after="283"/>
              <w:jc w:val="both"/>
              <w:rPr/>
            </w:pPr>
            <w:r>
              <w:rPr/>
              <w:t>Total net revenues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pPr>
            <w:r>
              <w:rPr/>
              <w:t>45,763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2,190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pPr>
            <w:r>
              <w:rPr/>
              <w:t>10,543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pPr>
            <w:r>
              <w:rPr/>
              <w:t>58,496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57" w:type="dxa"/>
        <w:jc w:val="left"/>
        <w:tblInd w:w="0" w:type="dxa"/>
        <w:tblLayout w:type="fixed"/>
        <w:tblCellMar>
          <w:top w:w="0" w:type="dxa"/>
          <w:left w:w="0" w:type="dxa"/>
          <w:bottom w:w="0" w:type="dxa"/>
          <w:right w:w="0" w:type="dxa"/>
        </w:tblCellMar>
      </w:tblPr>
      <w:tblGrid>
        <w:gridCol w:w="2585"/>
        <w:gridCol w:w="60"/>
        <w:gridCol w:w="83"/>
        <w:gridCol w:w="822"/>
        <w:gridCol w:w="67"/>
        <w:gridCol w:w="67"/>
        <w:gridCol w:w="117"/>
        <w:gridCol w:w="953"/>
        <w:gridCol w:w="67"/>
        <w:gridCol w:w="67"/>
        <w:gridCol w:w="67"/>
        <w:gridCol w:w="663"/>
        <w:gridCol w:w="67"/>
        <w:gridCol w:w="67"/>
        <w:gridCol w:w="67"/>
        <w:gridCol w:w="663"/>
        <w:gridCol w:w="75"/>
      </w:tblGrid>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10" w:name="xdx_49E_20250101__20251231__us-gaap--Sta"/>
            <w:bookmarkEnd w:id="910"/>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bookmarkStart w:id="911" w:name="xdx_49C_20250101__20251231__us-gaap--Sta"/>
            <w:bookmarkEnd w:id="911"/>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bookmarkStart w:id="912" w:name="xdx_497_20250101__20251231__us-gaap--Sta"/>
            <w:bookmarkEnd w:id="912"/>
          </w:p>
        </w:tc>
        <w:tc>
          <w:tcPr>
            <w:tcW w:w="7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bookmarkStart w:id="913" w:name="xdx_495_20250101__20251231_zPSTox0f9KA3"/>
            <w:bookmarkEnd w:id="913"/>
          </w:p>
        </w:tc>
        <w:tc>
          <w:tcPr>
            <w:tcW w:w="7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3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Timing of revenue recognition:</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914" w:name="xdx_40E_eus-gaap--RevenueFromContractWit"/>
            <w:bookmarkEnd w:id="914"/>
          </w:p>
        </w:tc>
      </w:tr>
      <w:tr>
        <w:trPr/>
        <w:tc>
          <w:tcPr>
            <w:tcW w:w="2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63,412</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915" w:name="xdx_408_eus-gaap--RevenueFromContractWit"/>
            <w:bookmarkEnd w:id="915"/>
          </w:p>
        </w:tc>
      </w:tr>
      <w:tr>
        <w:trPr/>
        <w:tc>
          <w:tcPr>
            <w:tcW w:w="25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916" w:name="xdx_40E_eus-gaap--Revenues_maGPznI9_zL6Y"/>
            <w:bookmarkEnd w:id="916"/>
          </w:p>
        </w:tc>
      </w:tr>
      <w:tr>
        <w:trPr/>
        <w:tc>
          <w:tcPr>
            <w:tcW w:w="2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61,234</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17" w:name="xdx_8A4_zyhirYrySpkl"/>
      <w:bookmarkEnd w:id="91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8" w:name="xdx_898_ecustom--ScheduleOfDepreciationE"/>
      <w:bookmarkEnd w:id="918"/>
      <w:r>
        <w:rPr>
          <w:rFonts w:ascii="Times New Roman;Times;Serif" w:hAnsi="Times New Roman;Times;Serif"/>
          <w:b w:val="false"/>
          <w:i w:val="false"/>
          <w:caps w:val="false"/>
          <w:smallCaps w:val="false"/>
          <w:sz w:val="20"/>
        </w:rPr>
        <w:t>The following table presents the depreciation expenses of property and equipment in cost of revenues by segment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9" w:name="xdx_8B2_zFMkcsGl6e8c"/>
      <w:bookmarkEnd w:id="919"/>
      <w:r>
        <w:rPr>
          <w:rFonts w:ascii="Times New Roman;Times;Serif" w:hAnsi="Times New Roman;Times;Serif"/>
          <w:b w:val="false"/>
          <w:i w:val="false"/>
          <w:caps w:val="false"/>
          <w:smallCaps w:val="false"/>
          <w:sz w:val="20"/>
        </w:rPr>
        <w:t>SCHEDULE OF DEPRECIATION EXPENSES OF PROPERTY AND EQUIPMENT</w:t>
      </w:r>
    </w:p>
    <w:tbl>
      <w:tblPr>
        <w:tblW w:w="8574" w:type="dxa"/>
        <w:jc w:val="left"/>
        <w:tblInd w:w="0" w:type="dxa"/>
        <w:tblLayout w:type="fixed"/>
        <w:tblCellMar>
          <w:top w:w="0" w:type="dxa"/>
          <w:left w:w="0" w:type="dxa"/>
          <w:bottom w:w="0" w:type="dxa"/>
          <w:right w:w="0" w:type="dxa"/>
        </w:tblCellMar>
      </w:tblPr>
      <w:tblGrid>
        <w:gridCol w:w="4520"/>
        <w:gridCol w:w="60"/>
        <w:gridCol w:w="60"/>
        <w:gridCol w:w="1100"/>
        <w:gridCol w:w="60"/>
        <w:gridCol w:w="60"/>
        <w:gridCol w:w="60"/>
        <w:gridCol w:w="1100"/>
        <w:gridCol w:w="60"/>
        <w:gridCol w:w="60"/>
        <w:gridCol w:w="69"/>
        <w:gridCol w:w="566"/>
        <w:gridCol w:w="60"/>
        <w:gridCol w:w="60"/>
        <w:gridCol w:w="66"/>
        <w:gridCol w:w="538"/>
        <w:gridCol w:w="75"/>
      </w:tblGrid>
      <w:tr>
        <w:trPr/>
        <w:tc>
          <w:tcPr>
            <w:tcW w:w="4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20" w:name="xdx_49E_20230101__20231231__us-gaap--Sta"/>
            <w:bookmarkEnd w:id="920"/>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21" w:name="xdx_495_20230101__20231231__us-gaap--Sta"/>
            <w:bookmarkEnd w:id="921"/>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22" w:name="xdx_492_20230101__20231231__us-gaap--Sta"/>
            <w:bookmarkEnd w:id="922"/>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23" w:name="xdx_490_20230101__20231231_zpbLngbm5Izb"/>
            <w:bookmarkEnd w:id="923"/>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1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924" w:name="xdx_408_ecustom--TotalDepreciationExpens"/>
            <w:bookmarkEnd w:id="924"/>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depreciation expenses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481" w:type="dxa"/>
        <w:jc w:val="left"/>
        <w:tblInd w:w="0" w:type="dxa"/>
        <w:tblLayout w:type="fixed"/>
        <w:tblCellMar>
          <w:top w:w="0" w:type="dxa"/>
          <w:left w:w="0" w:type="dxa"/>
          <w:bottom w:w="0" w:type="dxa"/>
          <w:right w:w="0" w:type="dxa"/>
        </w:tblCellMar>
      </w:tblPr>
      <w:tblGrid>
        <w:gridCol w:w="5225"/>
        <w:gridCol w:w="60"/>
        <w:gridCol w:w="60"/>
        <w:gridCol w:w="1104"/>
        <w:gridCol w:w="60"/>
        <w:gridCol w:w="60"/>
        <w:gridCol w:w="60"/>
        <w:gridCol w:w="1119"/>
        <w:gridCol w:w="60"/>
        <w:gridCol w:w="60"/>
        <w:gridCol w:w="68"/>
        <w:gridCol w:w="641"/>
        <w:gridCol w:w="60"/>
        <w:gridCol w:w="60"/>
        <w:gridCol w:w="68"/>
        <w:gridCol w:w="641"/>
        <w:gridCol w:w="75"/>
      </w:tblGrid>
      <w:tr>
        <w:trPr/>
        <w:tc>
          <w:tcPr>
            <w:tcW w:w="5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5" w:name="xdx_49B_20240101__20241231__us-gaap--Sta"/>
            <w:bookmarkEnd w:id="925"/>
          </w:p>
        </w:tc>
        <w:tc>
          <w:tcPr>
            <w:tcW w:w="11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6" w:name="xdx_498_20240101__20241231__us-gaap--Sta"/>
            <w:bookmarkEnd w:id="926"/>
          </w:p>
        </w:tc>
        <w:tc>
          <w:tcPr>
            <w:tcW w:w="11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7" w:name="xdx_497_20240101__20241231__us-gaap--Sta"/>
            <w:bookmarkEnd w:id="927"/>
          </w:p>
        </w:tc>
        <w:tc>
          <w:tcPr>
            <w:tcW w:w="7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8" w:name="xdx_492_20240101__20241231_zXfZGsZCA2Fe"/>
            <w:bookmarkEnd w:id="928"/>
          </w:p>
        </w:tc>
        <w:tc>
          <w:tcPr>
            <w:tcW w:w="7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2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75" w:type="dxa"/>
            <w:tcBorders/>
            <w:vAlign w:val="center"/>
          </w:tcPr>
          <w:p>
            <w:pPr>
              <w:pStyle w:val="TableContents"/>
              <w:bidi w:val="0"/>
              <w:spacing w:before="0" w:after="283"/>
              <w:jc w:val="left"/>
              <w:rPr/>
            </w:pPr>
            <w:r>
              <w:rPr/>
              <w:t> </w:t>
            </w:r>
            <w:bookmarkStart w:id="929" w:name="xdx_408_ecustom--TotalDepreciationExpens"/>
            <w:bookmarkEnd w:id="929"/>
          </w:p>
        </w:tc>
      </w:tr>
      <w:tr>
        <w:trPr/>
        <w:tc>
          <w:tcPr>
            <w:tcW w:w="5225" w:type="dxa"/>
            <w:tcBorders/>
            <w:shd w:fill="CCEEFF" w:val="clear"/>
            <w:vAlign w:val="center"/>
          </w:tcPr>
          <w:p>
            <w:pPr>
              <w:pStyle w:val="TableContents"/>
              <w:bidi w:val="0"/>
              <w:spacing w:before="0" w:after="283"/>
              <w:jc w:val="left"/>
              <w:rPr/>
            </w:pPr>
            <w:r>
              <w:rPr/>
              <w:t>Total depreciation expenses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481" w:type="dxa"/>
        <w:jc w:val="left"/>
        <w:tblInd w:w="0" w:type="dxa"/>
        <w:tblLayout w:type="fixed"/>
        <w:tblCellMar>
          <w:top w:w="0" w:type="dxa"/>
          <w:left w:w="0" w:type="dxa"/>
          <w:bottom w:w="0" w:type="dxa"/>
          <w:right w:w="0" w:type="dxa"/>
        </w:tblCellMar>
      </w:tblPr>
      <w:tblGrid>
        <w:gridCol w:w="5225"/>
        <w:gridCol w:w="60"/>
        <w:gridCol w:w="60"/>
        <w:gridCol w:w="1104"/>
        <w:gridCol w:w="60"/>
        <w:gridCol w:w="60"/>
        <w:gridCol w:w="60"/>
        <w:gridCol w:w="1119"/>
        <w:gridCol w:w="60"/>
        <w:gridCol w:w="60"/>
        <w:gridCol w:w="68"/>
        <w:gridCol w:w="641"/>
        <w:gridCol w:w="60"/>
        <w:gridCol w:w="60"/>
        <w:gridCol w:w="68"/>
        <w:gridCol w:w="641"/>
        <w:gridCol w:w="75"/>
      </w:tblGrid>
      <w:tr>
        <w:trPr/>
        <w:tc>
          <w:tcPr>
            <w:tcW w:w="5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0" w:name="xdx_496_20250101__20251231__us-gaap--Sta"/>
            <w:bookmarkEnd w:id="930"/>
          </w:p>
        </w:tc>
        <w:tc>
          <w:tcPr>
            <w:tcW w:w="11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1" w:name="xdx_49D_20250101__20251231__us-gaap--Sta"/>
            <w:bookmarkEnd w:id="931"/>
          </w:p>
        </w:tc>
        <w:tc>
          <w:tcPr>
            <w:tcW w:w="11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2" w:name="xdx_49F_20250101__20251231__us-gaap--Sta"/>
            <w:bookmarkEnd w:id="932"/>
          </w:p>
        </w:tc>
        <w:tc>
          <w:tcPr>
            <w:tcW w:w="7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3" w:name="xdx_49A_20250101__20251231_zuqroYBVLu97"/>
            <w:bookmarkEnd w:id="933"/>
          </w:p>
        </w:tc>
        <w:tc>
          <w:tcPr>
            <w:tcW w:w="7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2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parts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75" w:type="dxa"/>
            <w:tcBorders/>
            <w:vAlign w:val="center"/>
          </w:tcPr>
          <w:p>
            <w:pPr>
              <w:pStyle w:val="TableContents"/>
              <w:bidi w:val="0"/>
              <w:spacing w:before="0" w:after="283"/>
              <w:jc w:val="left"/>
              <w:rPr/>
            </w:pPr>
            <w:r>
              <w:rPr/>
              <w:t> </w:t>
            </w:r>
            <w:bookmarkStart w:id="934" w:name="xdx_408_ecustom--TotalDepreciationExpens"/>
            <w:bookmarkEnd w:id="934"/>
          </w:p>
        </w:tc>
      </w:tr>
      <w:tr>
        <w:trPr/>
        <w:tc>
          <w:tcPr>
            <w:tcW w:w="5225" w:type="dxa"/>
            <w:tcBorders/>
            <w:shd w:fill="CCEEFF" w:val="clear"/>
            <w:vAlign w:val="center"/>
          </w:tcPr>
          <w:p>
            <w:pPr>
              <w:pStyle w:val="TableContents"/>
              <w:bidi w:val="0"/>
              <w:spacing w:before="0" w:after="283"/>
              <w:jc w:val="both"/>
              <w:rPr/>
            </w:pPr>
            <w:r>
              <w:rPr/>
              <w:t>Total depreciation expenses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4,494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5" w:name="xdx_8AB_zi2QMrn0drrg"/>
      <w:bookmarkEnd w:id="9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 by geography area, Singapore and other countries based on the geography location for the year ended December 31, 2023, 2024 and 2025.</w:t>
      </w:r>
    </w:p>
    <w:p>
      <w:pPr>
        <w:pStyle w:val="TextBody"/>
        <w:bidi w:val="0"/>
        <w:spacing w:before="0" w:after="0"/>
        <w:ind w:left="0" w:right="0" w:hanging="0"/>
        <w:jc w:val="both"/>
        <w:rPr>
          <w:caps w:val="false"/>
          <w:smallCaps w:val="false"/>
        </w:rPr>
      </w:pPr>
      <w:bookmarkStart w:id="936" w:name="xdx_89E_ecustom--ScheduleOfRevenueFromEx"/>
      <w:bookmarkEnd w:id="936"/>
      <w:r>
        <w:rPr>
          <w:caps w:val="false"/>
          <w:smallCaps w:val="false"/>
        </w:rPr>
        <w:t> </w:t>
      </w:r>
      <w:bookmarkStart w:id="937" w:name="xdx_8B3_zB8ZcO2l2rY3"/>
      <w:bookmarkEnd w:id="937"/>
      <w:r>
        <w:rPr>
          <w:rFonts w:ascii="Times New Roman;Times;Serif" w:hAnsi="Times New Roman;Times;Serif"/>
          <w:b w:val="false"/>
          <w:i w:val="false"/>
          <w:caps w:val="false"/>
          <w:smallCaps w:val="false"/>
          <w:sz w:val="20"/>
        </w:rPr>
        <w:t>SCHEDULE OF FINANCIAL INFORMATION OF GEOGRAPHIC SEGMENTS</w:t>
      </w:r>
    </w:p>
    <w:tbl>
      <w:tblPr>
        <w:tblW w:w="4177" w:type="dxa"/>
        <w:jc w:val="left"/>
        <w:tblInd w:w="0" w:type="dxa"/>
        <w:tblLayout w:type="fixed"/>
        <w:tblCellMar>
          <w:top w:w="0" w:type="dxa"/>
          <w:left w:w="0" w:type="dxa"/>
          <w:bottom w:w="0" w:type="dxa"/>
          <w:right w:w="0" w:type="dxa"/>
        </w:tblCellMar>
      </w:tblPr>
      <w:tblGrid>
        <w:gridCol w:w="1535"/>
        <w:gridCol w:w="60"/>
        <w:gridCol w:w="65"/>
        <w:gridCol w:w="738"/>
        <w:gridCol w:w="65"/>
        <w:gridCol w:w="65"/>
        <w:gridCol w:w="65"/>
        <w:gridCol w:w="657"/>
        <w:gridCol w:w="65"/>
        <w:gridCol w:w="65"/>
        <w:gridCol w:w="65"/>
        <w:gridCol w:w="657"/>
        <w:gridCol w:w="75"/>
      </w:tblGrid>
      <w:tr>
        <w:trPr/>
        <w:tc>
          <w:tcPr>
            <w:tcW w:w="1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bookmarkStart w:id="938" w:name="xdx_495_20230101__20231231_zJtsZcbsQwn"/>
            <w:bookmarkEnd w:id="938"/>
          </w:p>
        </w:tc>
        <w:tc>
          <w:tcPr>
            <w:tcW w:w="73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939" w:name="xdx_498_20240101__20241231_zgzB53QPA6X"/>
            <w:bookmarkEnd w:id="939"/>
          </w:p>
        </w:tc>
        <w:tc>
          <w:tcPr>
            <w:tcW w:w="7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bookmarkStart w:id="940" w:name="xdx_491_20250101__20251231_zeJ3hFPZPWpl"/>
            <w:bookmarkEnd w:id="940"/>
          </w:p>
        </w:tc>
        <w:tc>
          <w:tcPr>
            <w:tcW w:w="7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7" w:type="dxa"/>
            <w:gridSpan w:val="10"/>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shd w:fill="FFFFFF" w:val="clear"/>
            <w:vAlign w:val="center"/>
          </w:tcPr>
          <w:p>
            <w:pPr>
              <w:pStyle w:val="TableContents"/>
              <w:bidi w:val="0"/>
              <w:spacing w:before="0" w:after="283"/>
              <w:jc w:val="center"/>
              <w:rPr/>
            </w:pPr>
            <w:r>
              <w:rPr/>
              <w:t>S$’000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1" w:name="xdx_408_eus-gaap--RevenueFromContractWit"/>
            <w:bookmarkEnd w:id="941"/>
          </w:p>
        </w:tc>
      </w:tr>
      <w:tr>
        <w:trPr/>
        <w:tc>
          <w:tcPr>
            <w:tcW w:w="15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69,735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2" w:name="xdx_402_eus-gaap--RevenueFromContractWit"/>
            <w:bookmarkEnd w:id="942"/>
          </w:p>
        </w:tc>
      </w:tr>
      <w:tr>
        <w:trPr/>
        <w:tc>
          <w:tcPr>
            <w:tcW w:w="15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countries</w:t>
            </w:r>
            <w:bookmarkStart w:id="943" w:name="xdx_F43_zEWVu5Q3JNK7"/>
            <w:bookmarkEnd w:id="943"/>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4" w:name="xdx_40B_eus-gaap--RevenueFromContractWit"/>
            <w:bookmarkEnd w:id="944"/>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72,782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260"/>
        <w:gridCol w:w="23"/>
        <w:gridCol w:w="474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45" w:name="xdx_F07_zN73Nwpzh9i1"/>
            <w:bookmarkEnd w:id="945"/>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both"/>
              <w:rPr>
                <w:rFonts w:ascii="Times New Roman;Times;Serif" w:hAnsi="Times New Roman;Times;Serif"/>
                <w:sz w:val="20"/>
              </w:rPr>
            </w:pPr>
            <w:bookmarkStart w:id="946" w:name="xdx_F1C_zigT7mZDJEQb"/>
            <w:bookmarkEnd w:id="946"/>
            <w:r>
              <w:rPr>
                <w:rFonts w:ascii="Times New Roman;Times;Serif" w:hAnsi="Times New Roman;Times;Serif"/>
                <w:sz w:val="20"/>
              </w:rPr>
              <w:t>Other countries include Indonesia, China and Hong Kong.</w:t>
            </w:r>
          </w:p>
        </w:tc>
      </w:tr>
    </w:tbl>
    <w:p>
      <w:pPr>
        <w:pStyle w:val="TextBody"/>
        <w:bidi w:val="0"/>
        <w:spacing w:before="0" w:after="0"/>
        <w:ind w:left="0" w:right="0" w:hanging="0"/>
        <w:jc w:val="both"/>
        <w:rPr>
          <w:caps w:val="false"/>
          <w:smallCaps w:val="false"/>
        </w:rPr>
      </w:pPr>
      <w:bookmarkStart w:id="947" w:name="xdx_8A0_zKbkTZ4ykflk"/>
      <w:bookmarkEnd w:id="94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48" w:name="xdx_806_eus-gaap--IncomeTaxDisclosureTex"/>
      <w:bookmarkEnd w:id="948"/>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16 </w:t>
      </w:r>
      <w:bookmarkStart w:id="949" w:name="xdx_82A_zGt56DHVbB4l"/>
      <w:bookmarkEnd w:id="949"/>
      <w:r>
        <w:rPr>
          <w:rFonts w:ascii="Times New Roman;Times;Serif" w:hAnsi="Times New Roman;Times;Serif"/>
          <w:b/>
          <w:i w:val="false"/>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0" w:name="xdx_89C_eus-gaap--ScheduleOfComponentsOf"/>
      <w:bookmarkEnd w:id="950"/>
      <w:r>
        <w:rPr>
          <w:rFonts w:ascii="Times New Roman;Times;Serif" w:hAnsi="Times New Roman;Times;Serif"/>
          <w:b w:val="false"/>
          <w:i w:val="false"/>
          <w:caps w:val="false"/>
          <w:smallCaps w:val="false"/>
          <w:sz w:val="20"/>
        </w:rPr>
        <w:t>The provision for income taxes consisted of the following:</w:t>
      </w:r>
    </w:p>
    <w:p>
      <w:pPr>
        <w:pStyle w:val="TextBody"/>
        <w:bidi w:val="0"/>
        <w:spacing w:before="0" w:after="0"/>
        <w:ind w:left="0" w:right="0" w:hanging="0"/>
        <w:jc w:val="both"/>
        <w:rPr>
          <w:caps w:val="false"/>
          <w:smallCaps w:val="false"/>
        </w:rPr>
      </w:pPr>
      <w:r>
        <w:rPr>
          <w:caps w:val="false"/>
          <w:smallCaps w:val="false"/>
        </w:rPr>
        <w:t> </w:t>
      </w:r>
      <w:bookmarkStart w:id="951" w:name="xdx_8B2_zVdJYfnRUCf1"/>
      <w:bookmarkEnd w:id="951"/>
      <w:r>
        <w:rPr>
          <w:rFonts w:ascii="Times New Roman;Times;Serif" w:hAnsi="Times New Roman;Times;Serif"/>
          <w:b w:val="false"/>
          <w:i w:val="false"/>
          <w:caps w:val="false"/>
          <w:smallCaps w:val="false"/>
          <w:sz w:val="20"/>
        </w:rPr>
        <w:t xml:space="preserve">SCHEDULE OF PROVISION FOR INCOME TAXES </w:t>
      </w:r>
    </w:p>
    <w:tbl>
      <w:tblPr>
        <w:tblW w:w="5690" w:type="dxa"/>
        <w:jc w:val="left"/>
        <w:tblInd w:w="0" w:type="dxa"/>
        <w:tblLayout w:type="fixed"/>
        <w:tblCellMar>
          <w:top w:w="0" w:type="dxa"/>
          <w:left w:w="0" w:type="dxa"/>
          <w:bottom w:w="0" w:type="dxa"/>
          <w:right w:w="0" w:type="dxa"/>
        </w:tblCellMar>
      </w:tblPr>
      <w:tblGrid>
        <w:gridCol w:w="3020"/>
        <w:gridCol w:w="60"/>
        <w:gridCol w:w="68"/>
        <w:gridCol w:w="641"/>
        <w:gridCol w:w="107"/>
        <w:gridCol w:w="67"/>
        <w:gridCol w:w="67"/>
        <w:gridCol w:w="682"/>
        <w:gridCol w:w="67"/>
        <w:gridCol w:w="67"/>
        <w:gridCol w:w="67"/>
        <w:gridCol w:w="682"/>
        <w:gridCol w:w="95"/>
      </w:tblGrid>
      <w:tr>
        <w:trPr/>
        <w:tc>
          <w:tcPr>
            <w:tcW w:w="30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pPr>
            <w:r>
              <w:rPr/>
              <w:t> </w:t>
            </w:r>
            <w:bookmarkStart w:id="952" w:name="xdx_491_20230101__20231231_zoCXjLCsEygk"/>
            <w:bookmarkEnd w:id="952"/>
          </w:p>
        </w:tc>
        <w:tc>
          <w:tcPr>
            <w:tcW w:w="641"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953" w:name="xdx_49E_20240101__20241231_zRmjmKviWQuj"/>
            <w:bookmarkEnd w:id="953"/>
          </w:p>
        </w:tc>
        <w:tc>
          <w:tcPr>
            <w:tcW w:w="7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bookmarkStart w:id="954" w:name="xdx_497_20250101__20251231_z9lpXqCNR10c"/>
            <w:bookmarkEnd w:id="954"/>
          </w:p>
        </w:tc>
        <w:tc>
          <w:tcPr>
            <w:tcW w:w="7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10"/>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shd w:fill="FFFFFF" w:val="clear"/>
            <w:vAlign w:val="center"/>
          </w:tcPr>
          <w:p>
            <w:pPr>
              <w:pStyle w:val="TableContents"/>
              <w:bidi w:val="0"/>
              <w:spacing w:before="0" w:after="283"/>
              <w:jc w:val="center"/>
              <w:rPr/>
            </w:pPr>
            <w:r>
              <w:rPr/>
              <w:t>S$’000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sz w:val="4"/>
                <w:szCs w:val="4"/>
              </w:rPr>
            </w:pPr>
            <w:r>
              <w:rPr>
                <w:sz w:val="4"/>
                <w:szCs w:val="4"/>
              </w:rPr>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5" w:name="xdx_407_eus-gaap--CurrentIncomeTaxExpens"/>
            <w:bookmarkEnd w:id="955"/>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681</w:t>
            </w:r>
          </w:p>
        </w:tc>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67" w:type="dxa"/>
            <w:tcBorders/>
            <w:shd w:fill="FFFFFF" w:val="clear"/>
            <w:vAlign w:val="center"/>
          </w:tcPr>
          <w:p>
            <w:pPr>
              <w:pStyle w:val="TableContents"/>
              <w:bidi w:val="0"/>
              <w:spacing w:before="0" w:after="283"/>
              <w:jc w:val="left"/>
              <w:rPr>
                <w:sz w:val="4"/>
                <w:szCs w:val="4"/>
              </w:rPr>
            </w:pPr>
            <w:r>
              <w:rPr>
                <w:sz w:val="4"/>
                <w:szCs w:val="4"/>
              </w:rPr>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6" w:name="xdx_405_eus-gaap--IncomeTaxReconciliatio"/>
            <w:bookmarkEnd w:id="956"/>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(Over)/under-provision in prior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(360</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57" w:name="xdx_405_eus-gaap--DeferredIncomeTaxExpen"/>
            <w:bookmarkEnd w:id="957"/>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8" w:name="xdx_403_eus-gaap--IncomeTaxExpenseBenefi"/>
            <w:bookmarkEnd w:id="958"/>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pPr>
            <w:r>
              <w:rPr/>
              <w:t>1,046</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59" w:name="xdx_8AC_zAgKOzQsqP6d"/>
      <w:bookmarkEnd w:id="9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taxes in the jurisdictions in which it operates,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International Holdings Limited is an exempted Cayman Islands company and is presently not subject to income taxes or income tax filing requirements in the Cayman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Venture Capital Limited is an exempted British Virgin Islands company and is presently not subject to income taxes or income tax filing requirements in the British Virgin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Ten-League Engineering &amp; Technology Pte. Ltd and Ten-League Port Engineering Solutions Pte. Ltd are operating in Singapore and are subject to the Singapore tax law at the corporate tax rate at </w:t>
      </w:r>
      <w:bookmarkStart w:id="960" w:name="xdx_90A_eus-gaap--EffectiveIncomeTaxRate"/>
      <w:bookmarkEnd w:id="960"/>
      <w:r>
        <w:rPr>
          <w:rFonts w:ascii="Times New Roman;Times;Serif" w:hAnsi="Times New Roman;Times;Serif"/>
          <w:b w:val="false"/>
          <w:i w:val="false"/>
          <w:caps w:val="false"/>
          <w:smallCaps w:val="false"/>
          <w:sz w:val="20"/>
        </w:rPr>
        <w:t>17% on the assessable income arising in Singapore during its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1" w:name="xdx_899_eus-gaap--ScheduleOfEffectiveInc"/>
      <w:bookmarkEnd w:id="961"/>
      <w:r>
        <w:rPr>
          <w:rFonts w:ascii="Times New Roman;Times;Serif" w:hAnsi="Times New Roman;Times;Serif"/>
          <w:b w:val="false"/>
          <w:i w:val="false"/>
          <w:caps w:val="false"/>
          <w:smallCaps w:val="false"/>
          <w:sz w:val="20"/>
        </w:rPr>
        <w:t>The reconciliation of income tax rate to the effective income tax rate based on income before income taxes for the year ended December 31, 2023, 2024 and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62" w:name="xdx_8B0_z9cg77dr0g53"/>
      <w:bookmarkEnd w:id="962"/>
      <w:r>
        <w:rPr>
          <w:rFonts w:ascii="Times New Roman;Times;Serif" w:hAnsi="Times New Roman;Times;Serif"/>
          <w:b w:val="false"/>
          <w:i w:val="false"/>
          <w:caps w:val="false"/>
          <w:smallCaps w:val="false"/>
          <w:sz w:val="20"/>
        </w:rPr>
        <w:t>SCHEDULE OF EFFECTIVE INCOME TAX RATE </w:t>
      </w:r>
    </w:p>
    <w:tbl>
      <w:tblPr>
        <w:tblW w:w="6927" w:type="dxa"/>
        <w:jc w:val="left"/>
        <w:tblInd w:w="0" w:type="dxa"/>
        <w:tblLayout w:type="fixed"/>
        <w:tblCellMar>
          <w:top w:w="0" w:type="dxa"/>
          <w:left w:w="0" w:type="dxa"/>
          <w:bottom w:w="0" w:type="dxa"/>
          <w:right w:w="0" w:type="dxa"/>
        </w:tblCellMar>
      </w:tblPr>
      <w:tblGrid>
        <w:gridCol w:w="4085"/>
        <w:gridCol w:w="60"/>
        <w:gridCol w:w="67"/>
        <w:gridCol w:w="642"/>
        <w:gridCol w:w="218"/>
        <w:gridCol w:w="60"/>
        <w:gridCol w:w="60"/>
        <w:gridCol w:w="614"/>
        <w:gridCol w:w="187"/>
        <w:gridCol w:w="60"/>
        <w:gridCol w:w="60"/>
        <w:gridCol w:w="614"/>
        <w:gridCol w:w="200"/>
      </w:tblGrid>
      <w:tr>
        <w:trPr/>
        <w:tc>
          <w:tcPr>
            <w:tcW w:w="40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pPr>
            <w:r>
              <w:rPr/>
              <w:t> </w:t>
            </w:r>
            <w:bookmarkStart w:id="963" w:name="xdx_495_20230101__20231231__srt--Stateme"/>
            <w:bookmarkEnd w:id="963"/>
          </w:p>
        </w:tc>
        <w:tc>
          <w:tcPr>
            <w:tcW w:w="642" w:type="dxa"/>
            <w:tcBorders/>
            <w:vAlign w:val="center"/>
          </w:tcPr>
          <w:p>
            <w:pPr>
              <w:pStyle w:val="TableContents"/>
              <w:bidi w:val="0"/>
              <w:spacing w:before="0" w:after="283"/>
              <w:jc w:val="right"/>
              <w:rPr/>
            </w:pPr>
            <w:r>
              <w:rPr/>
              <w:t> </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4" w:name="xdx_498_20240101__20241231__srt--Stateme"/>
            <w:bookmarkEnd w:id="964"/>
          </w:p>
        </w:tc>
        <w:tc>
          <w:tcPr>
            <w:tcW w:w="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65" w:name="xdx_493_20250101__20251231__srt--Stateme"/>
            <w:bookmarkEnd w:id="965"/>
          </w:p>
        </w:tc>
        <w:tc>
          <w:tcPr>
            <w:tcW w:w="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2" w:type="dxa"/>
            <w:gridSpan w:val="10"/>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shd w:fill="FFFFFF" w:val="clear"/>
            <w:vAlign w:val="center"/>
          </w:tcPr>
          <w:p>
            <w:pPr>
              <w:pStyle w:val="TableContents"/>
              <w:bidi w:val="0"/>
              <w:spacing w:before="0" w:after="283"/>
              <w:jc w:val="center"/>
              <w:rPr/>
            </w:pPr>
            <w:r>
              <w:rPr/>
              <w:t>S$’000</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6" w:name="xdx_401_eus-gaap--IncomeLossFromContinui"/>
            <w:bookmarkEnd w:id="966"/>
          </w:p>
        </w:tc>
      </w:tr>
      <w:tr>
        <w:trPr/>
        <w:tc>
          <w:tcPr>
            <w:tcW w:w="4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8,126</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7" w:name="xdx_40F_eus-gaap--EffectiveIncomeTaxRate"/>
            <w:bookmarkEnd w:id="967"/>
          </w:p>
        </w:tc>
      </w:tr>
      <w:tr>
        <w:trPr/>
        <w:tc>
          <w:tcPr>
            <w:tcW w:w="40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income 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1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68" w:name="xdx_409_eus-gaap--IncomeTaxReconciliatio"/>
            <w:bookmarkEnd w:id="968"/>
          </w:p>
        </w:tc>
      </w:tr>
      <w:tr>
        <w:trPr/>
        <w:tc>
          <w:tcPr>
            <w:tcW w:w="4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at statutory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1,381</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9" w:name="xdx_404_eus-gaap--IncomeTaxReconciliatio"/>
            <w:bookmarkEnd w:id="969"/>
          </w:p>
        </w:tc>
      </w:tr>
      <w:tr>
        <w:trPr/>
        <w:tc>
          <w:tcPr>
            <w:tcW w:w="40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Under provision in previous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(360</w:t>
            </w:r>
          </w:p>
        </w:tc>
        <w:tc>
          <w:tcPr>
            <w:tcW w:w="21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70" w:name="xdx_401_eus-gaap--IncomeTaxReconciliatio"/>
            <w:bookmarkEnd w:id="970"/>
          </w:p>
        </w:tc>
      </w:tr>
      <w:tr>
        <w:trPr/>
        <w:tc>
          <w:tcPr>
            <w:tcW w:w="4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non-taxable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(228</w:t>
            </w:r>
          </w:p>
        </w:tc>
        <w:tc>
          <w:tcPr>
            <w:tcW w:w="21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1" w:name="xdx_40B_eus-gaap--IncomeTaxReconciliatio"/>
            <w:bookmarkEnd w:id="971"/>
          </w:p>
        </w:tc>
      </w:tr>
      <w:tr>
        <w:trPr/>
        <w:tc>
          <w:tcPr>
            <w:tcW w:w="40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non-deductible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156</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2" w:name="xdx_40B_ecustom--IncomeTaxReconciliation"/>
            <w:bookmarkEnd w:id="972"/>
          </w:p>
        </w:tc>
      </w:tr>
      <w:tr>
        <w:trPr/>
        <w:tc>
          <w:tcPr>
            <w:tcW w:w="4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on temporary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211</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73" w:name="xdx_40E_ecustom--IncomeTaxReconciliation"/>
            <w:bookmarkEnd w:id="973"/>
          </w:p>
        </w:tc>
      </w:tr>
      <w:tr>
        <w:trPr/>
        <w:tc>
          <w:tcPr>
            <w:tcW w:w="40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stepped income tax exemption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1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4" w:name="xdx_403_eus-gaap--IncomeTaxExpenseBenefi"/>
            <w:bookmarkEnd w:id="974"/>
          </w:p>
        </w:tc>
      </w:tr>
      <w:tr>
        <w:trPr/>
        <w:tc>
          <w:tcPr>
            <w:tcW w:w="40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75" w:name="xdx_8A4_zHAaS7idSc4d"/>
      <w:bookmarkEnd w:id="9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uncertain tax position (including the potential application of interest and penalties) based on the technical merits, and measure the unrecognized benefits associated with the tax positions. As of December 31, 2023, 2024 and 2025, the Company did not have any significant unrecognized uncertain tax positions. The Company did not incur any interest and penalties related to potential underpaid income tax expenses for the financial year ended December 31, 2023, 2024 and 2025 and also did not anticipate any significant increases or decreases in unrecognized tax benefits in the next 12 months from December 31, 2025.</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76" w:name="xdx_803_eus-gaap--RelatedPartyTransactio"/>
      <w:bookmarkEnd w:id="976"/>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 xml:space="preserve">－ </w:t>
      </w:r>
      <w:r>
        <w:rPr>
          <w:rFonts w:ascii="Times New Roman;Times;Serif" w:hAnsi="Times New Roman;Times;Serif"/>
          <w:b/>
          <w:i w:val="false"/>
          <w:caps w:val="false"/>
          <w:smallCaps w:val="false"/>
          <w:sz w:val="20"/>
        </w:rPr>
        <w:t xml:space="preserve">17 </w:t>
      </w:r>
      <w:bookmarkStart w:id="977" w:name="xdx_82B_zCuTUZ5xGZug"/>
      <w:bookmarkEnd w:id="977"/>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was involved in certain transactions, either at cost or current market prices, and on the normal commercial terms with related parties. The following table provides the transactions with these parties for the years as presented (for the portion of such period that they were considered related):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8" w:name="xdx_8BC_zvs8o1hbQiXb"/>
      <w:bookmarkStart w:id="979" w:name="xdx_89D_eus-gaap--ScheduleOfRelatedParty"/>
      <w:bookmarkEnd w:id="978"/>
      <w:bookmarkEnd w:id="979"/>
      <w:r>
        <w:rPr>
          <w:rFonts w:ascii="Times New Roman;Times;Serif" w:hAnsi="Times New Roman;Times;Serif"/>
          <w:b w:val="false"/>
          <w:i w:val="false"/>
          <w:caps w:val="false"/>
          <w:smallCaps w:val="false"/>
          <w:sz w:val="20"/>
        </w:rPr>
        <w:t>SCHEDULE OF TRANSACTIONS WITH RELATED PARTIES</w:t>
      </w:r>
    </w:p>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260"/>
        <w:gridCol w:w="290"/>
        <w:gridCol w:w="72"/>
        <w:gridCol w:w="679"/>
        <w:gridCol w:w="63"/>
        <w:gridCol w:w="63"/>
        <w:gridCol w:w="72"/>
        <w:gridCol w:w="679"/>
        <w:gridCol w:w="63"/>
        <w:gridCol w:w="63"/>
        <w:gridCol w:w="72"/>
        <w:gridCol w:w="679"/>
        <w:gridCol w:w="75"/>
      </w:tblGrid>
      <w:tr>
        <w:trPr/>
        <w:tc>
          <w:tcPr>
            <w:tcW w:w="32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bookmarkStart w:id="980" w:name="xdx_49B_20230101__20231231_zsJMrN5OuXod"/>
            <w:bookmarkEnd w:id="980"/>
          </w:p>
        </w:tc>
        <w:tc>
          <w:tcPr>
            <w:tcW w:w="751" w:type="dxa"/>
            <w:gridSpan w:val="2"/>
            <w:tcBorders/>
            <w:vAlign w:val="center"/>
          </w:tcPr>
          <w:p>
            <w:pPr>
              <w:pStyle w:val="TableContents"/>
              <w:bidi w:val="0"/>
              <w:spacing w:before="0" w:after="283"/>
              <w:jc w:val="center"/>
              <w:rPr/>
            </w:pPr>
            <w:r>
              <w:rPr/>
              <w:t>S$’000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81" w:name="xdx_49B_20240101__20241231_z9vkDIylrs2k"/>
            <w:bookmarkEnd w:id="981"/>
          </w:p>
        </w:tc>
        <w:tc>
          <w:tcPr>
            <w:tcW w:w="751" w:type="dxa"/>
            <w:gridSpan w:val="2"/>
            <w:tcBorders/>
            <w:vAlign w:val="center"/>
          </w:tcPr>
          <w:p>
            <w:pPr>
              <w:pStyle w:val="TableContents"/>
              <w:bidi w:val="0"/>
              <w:spacing w:before="0" w:after="283"/>
              <w:jc w:val="center"/>
              <w:rPr/>
            </w:pPr>
            <w:r>
              <w:rPr/>
              <w:t>S$’000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82" w:name="xdx_496_20250101__20251231_zXM9rpaT0jTh"/>
            <w:bookmarkEnd w:id="982"/>
          </w:p>
        </w:tc>
        <w:tc>
          <w:tcPr>
            <w:tcW w:w="751" w:type="dxa"/>
            <w:gridSpan w:val="2"/>
            <w:tcBorders/>
            <w:vAlign w:val="center"/>
          </w:tcPr>
          <w:p>
            <w:pPr>
              <w:pStyle w:val="TableContents"/>
              <w:bidi w:val="0"/>
              <w:spacing w:before="0" w:after="283"/>
              <w:jc w:val="center"/>
              <w:rPr/>
            </w:pPr>
            <w:r>
              <w:rPr/>
              <w:t>S$’000</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2505" w:type="dxa"/>
            <w:gridSpan w:val="10"/>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both"/>
              <w:rPr>
                <w:b/>
              </w:rPr>
            </w:pPr>
            <w:r>
              <w:rPr>
                <w:b/>
              </w:rPr>
              <w:t>Nature of transactions</w:t>
            </w:r>
          </w:p>
        </w:tc>
        <w:tc>
          <w:tcPr>
            <w:tcW w:w="290" w:type="dxa"/>
            <w:tcBorders/>
            <w:vAlign w:val="center"/>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S$’000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S$’000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S$’000</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Ten-League Corporations Pte. Ltd.</w:t>
            </w:r>
            <w:r>
              <w:rPr>
                <w:rFonts w:ascii="Times New Roman;Times;Serif" w:hAnsi="Times New Roman;Times;Serif"/>
                <w:position w:val="7"/>
                <w:sz w:val="16"/>
                <w:sz w:val="20"/>
              </w:rPr>
              <w:t>(1)</w:t>
            </w:r>
          </w:p>
        </w:tc>
        <w:tc>
          <w:tcPr>
            <w:tcW w:w="29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83" w:name="xdx_40A_eus-gaap--ManagementFeeExpense_h"/>
            <w:bookmarkEnd w:id="983"/>
          </w:p>
        </w:tc>
      </w:tr>
      <w:tr>
        <w:trPr/>
        <w:tc>
          <w:tcPr>
            <w:tcW w:w="3260" w:type="dxa"/>
            <w:tcBorders/>
            <w:shd w:fill="FFFFFF" w:val="clear"/>
            <w:vAlign w:val="center"/>
          </w:tcPr>
          <w:p>
            <w:pPr>
              <w:pStyle w:val="TableContents"/>
              <w:bidi w:val="0"/>
              <w:spacing w:before="0" w:after="283"/>
              <w:jc w:val="both"/>
              <w:rPr/>
            </w:pPr>
            <w:r>
              <w:rPr/>
              <w:t>- Management fee charged</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bookmarkStart w:id="984" w:name="xdx_F42_zv2NISYZcOQj"/>
            <w:bookmarkEnd w:id="984"/>
            <w:r>
              <w:rPr>
                <w:rFonts w:ascii="Times New Roman;Times;Serif" w:hAnsi="Times New Roman;Times;Serif"/>
                <w:sz w:val="20"/>
              </w:rPr>
              <w:t>(1)</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2,471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1,358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1,327</w:t>
            </w:r>
          </w:p>
        </w:tc>
        <w:tc>
          <w:tcPr>
            <w:tcW w:w="75" w:type="dxa"/>
            <w:tcBorders/>
            <w:shd w:fill="FFFFFF" w:val="clear"/>
            <w:vAlign w:val="center"/>
          </w:tcPr>
          <w:p>
            <w:pPr>
              <w:pStyle w:val="TableContents"/>
              <w:bidi w:val="0"/>
              <w:spacing w:before="0" w:after="283"/>
              <w:jc w:val="left"/>
              <w:rPr/>
            </w:pPr>
            <w:r>
              <w:rPr/>
              <w:t> </w:t>
            </w:r>
            <w:bookmarkStart w:id="985" w:name="xdx_405_eus-gaap--PaymentsToAcquirePrope"/>
            <w:bookmarkEnd w:id="985"/>
          </w:p>
        </w:tc>
      </w:tr>
      <w:tr>
        <w:trPr/>
        <w:tc>
          <w:tcPr>
            <w:tcW w:w="3260" w:type="dxa"/>
            <w:tcBorders/>
            <w:shd w:fill="CCEEFF" w:val="clear"/>
            <w:vAlign w:val="center"/>
          </w:tcPr>
          <w:p>
            <w:pPr>
              <w:pStyle w:val="TableContents"/>
              <w:bidi w:val="0"/>
              <w:spacing w:before="0" w:after="283"/>
              <w:jc w:val="both"/>
              <w:rPr/>
            </w:pPr>
            <w:r>
              <w:rPr/>
              <w:t>- Purchase of plant and equipment</w:t>
            </w:r>
            <w:bookmarkStart w:id="986" w:name="xdx_F4C_zTJ7EtV2addf"/>
            <w:bookmarkEnd w:id="986"/>
          </w:p>
        </w:tc>
        <w:tc>
          <w:tcPr>
            <w:tcW w:w="290" w:type="dxa"/>
            <w:tcBorders/>
            <w:shd w:fill="CCEEFF" w:val="clear"/>
            <w:vAlign w:val="center"/>
          </w:tcPr>
          <w:p>
            <w:pPr>
              <w:pStyle w:val="TableContents"/>
              <w:bidi w:val="0"/>
              <w:spacing w:before="0" w:after="283"/>
              <w:jc w:val="left"/>
              <w:rPr/>
            </w:pPr>
            <w:r>
              <w:rPr/>
              <w:t>(1)</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884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10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335</w:t>
            </w:r>
          </w:p>
        </w:tc>
        <w:tc>
          <w:tcPr>
            <w:tcW w:w="75" w:type="dxa"/>
            <w:tcBorders/>
            <w:shd w:fill="CCEEFF" w:val="clear"/>
            <w:vAlign w:val="center"/>
          </w:tcPr>
          <w:p>
            <w:pPr>
              <w:pStyle w:val="TableContents"/>
              <w:bidi w:val="0"/>
              <w:spacing w:before="0" w:after="283"/>
              <w:jc w:val="left"/>
              <w:rPr/>
            </w:pPr>
            <w:r>
              <w:rPr/>
              <w:t> </w:t>
            </w:r>
            <w:bookmarkStart w:id="987" w:name="xdx_404_eus-gaap--PaymentsToAcquirePrope"/>
            <w:bookmarkEnd w:id="987"/>
          </w:p>
        </w:tc>
      </w:tr>
      <w:tr>
        <w:trPr/>
        <w:tc>
          <w:tcPr>
            <w:tcW w:w="3260" w:type="dxa"/>
            <w:tcBorders/>
            <w:shd w:fill="FFFFFF" w:val="clear"/>
            <w:vAlign w:val="center"/>
          </w:tcPr>
          <w:p>
            <w:pPr>
              <w:pStyle w:val="TableContents"/>
              <w:bidi w:val="0"/>
              <w:spacing w:before="0" w:after="283"/>
              <w:jc w:val="both"/>
              <w:rPr/>
            </w:pPr>
            <w:r>
              <w:rPr/>
              <w:t>- Purchase of spare parts</w:t>
            </w:r>
            <w:bookmarkStart w:id="988" w:name="xdx_F44_zIiBxZ7qCLzj"/>
            <w:bookmarkEnd w:id="988"/>
          </w:p>
        </w:tc>
        <w:tc>
          <w:tcPr>
            <w:tcW w:w="290" w:type="dxa"/>
            <w:tcBorders/>
            <w:shd w:fill="FFFFFF" w:val="clear"/>
            <w:vAlign w:val="center"/>
          </w:tcPr>
          <w:p>
            <w:pPr>
              <w:pStyle w:val="TableContents"/>
              <w:bidi w:val="0"/>
              <w:spacing w:before="0" w:after="283"/>
              <w:jc w:val="left"/>
              <w:rPr/>
            </w:pPr>
            <w:r>
              <w:rPr/>
              <w:t>(1)</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708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877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2,024</w:t>
            </w:r>
          </w:p>
        </w:tc>
        <w:tc>
          <w:tcPr>
            <w:tcW w:w="75" w:type="dxa"/>
            <w:tcBorders/>
            <w:shd w:fill="FFFFFF" w:val="clear"/>
            <w:vAlign w:val="center"/>
          </w:tcPr>
          <w:p>
            <w:pPr>
              <w:pStyle w:val="TableContents"/>
              <w:bidi w:val="0"/>
              <w:spacing w:before="0" w:after="283"/>
              <w:jc w:val="left"/>
              <w:rPr/>
            </w:pPr>
            <w:r>
              <w:rPr/>
              <w:t> </w:t>
            </w:r>
            <w:bookmarkStart w:id="989" w:name="xdx_404_eus-gaap--PaymentsToAcquirePrope"/>
            <w:bookmarkEnd w:id="989"/>
          </w:p>
        </w:tc>
      </w:tr>
      <w:tr>
        <w:trPr/>
        <w:tc>
          <w:tcPr>
            <w:tcW w:w="3260" w:type="dxa"/>
            <w:tcBorders/>
            <w:shd w:fill="CCEEFF" w:val="clear"/>
            <w:vAlign w:val="center"/>
          </w:tcPr>
          <w:p>
            <w:pPr>
              <w:pStyle w:val="TableContents"/>
              <w:bidi w:val="0"/>
              <w:spacing w:before="0" w:after="283"/>
              <w:jc w:val="both"/>
              <w:rPr/>
            </w:pPr>
            <w:r>
              <w:rPr/>
              <w:t>- Purchase of motor vehicles</w:t>
            </w:r>
            <w:bookmarkStart w:id="990" w:name="xdx_F4C_zHqrm0LzwHWj"/>
            <w:bookmarkEnd w:id="990"/>
          </w:p>
        </w:tc>
        <w:tc>
          <w:tcPr>
            <w:tcW w:w="290" w:type="dxa"/>
            <w:tcBorders/>
            <w:shd w:fill="CCEEFF" w:val="clear"/>
            <w:vAlign w:val="center"/>
          </w:tcPr>
          <w:p>
            <w:pPr>
              <w:pStyle w:val="TableContents"/>
              <w:bidi w:val="0"/>
              <w:spacing w:before="0" w:after="283"/>
              <w:jc w:val="left"/>
              <w:rPr/>
            </w:pPr>
            <w:r>
              <w:rPr/>
              <w:t>(1)</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88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91" w:name="xdx_409_ecustom--PaymentsForExpenses_hus"/>
            <w:bookmarkEnd w:id="991"/>
          </w:p>
        </w:tc>
      </w:tr>
      <w:tr>
        <w:trPr/>
        <w:tc>
          <w:tcPr>
            <w:tcW w:w="3260" w:type="dxa"/>
            <w:tcBorders/>
            <w:shd w:fill="FFFFFF" w:val="clear"/>
            <w:vAlign w:val="center"/>
          </w:tcPr>
          <w:p>
            <w:pPr>
              <w:pStyle w:val="TableContents"/>
              <w:bidi w:val="0"/>
              <w:spacing w:before="0" w:after="283"/>
              <w:jc w:val="both"/>
              <w:rPr/>
            </w:pPr>
            <w:r>
              <w:rPr/>
              <w:t>-Expenses paid on behalf</w:t>
            </w:r>
            <w:bookmarkStart w:id="992" w:name="xdx_F45_z8AFIZ5bRRc4"/>
            <w:bookmarkEnd w:id="992"/>
          </w:p>
        </w:tc>
        <w:tc>
          <w:tcPr>
            <w:tcW w:w="290" w:type="dxa"/>
            <w:tcBorders/>
            <w:shd w:fill="FFFFFF" w:val="clear"/>
            <w:vAlign w:val="center"/>
          </w:tcPr>
          <w:p>
            <w:pPr>
              <w:pStyle w:val="TableContents"/>
              <w:bidi w:val="0"/>
              <w:spacing w:before="0" w:after="283"/>
              <w:jc w:val="left"/>
              <w:rPr/>
            </w:pPr>
            <w:r>
              <w:rPr/>
              <w:t>(1)</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bookmarkStart w:id="993" w:name="xdx_40A_ecustom--PaymentsForServicesRend"/>
            <w:bookmarkEnd w:id="993"/>
          </w:p>
        </w:tc>
      </w:tr>
      <w:tr>
        <w:trPr/>
        <w:tc>
          <w:tcPr>
            <w:tcW w:w="3260" w:type="dxa"/>
            <w:tcBorders/>
            <w:shd w:fill="CCEEFF" w:val="clear"/>
            <w:vAlign w:val="center"/>
          </w:tcPr>
          <w:p>
            <w:pPr>
              <w:pStyle w:val="TableContents"/>
              <w:bidi w:val="0"/>
              <w:spacing w:before="0" w:after="283"/>
              <w:jc w:val="both"/>
              <w:rPr/>
            </w:pPr>
            <w:r>
              <w:rPr/>
              <w:t>-Services rendered</w:t>
            </w:r>
            <w:bookmarkStart w:id="994" w:name="xdx_F43_zICDiF0UJS5d"/>
            <w:bookmarkEnd w:id="994"/>
          </w:p>
        </w:tc>
        <w:tc>
          <w:tcPr>
            <w:tcW w:w="290" w:type="dxa"/>
            <w:tcBorders/>
            <w:shd w:fill="CCEEFF" w:val="clear"/>
            <w:vAlign w:val="center"/>
          </w:tcPr>
          <w:p>
            <w:pPr>
              <w:pStyle w:val="TableContents"/>
              <w:bidi w:val="0"/>
              <w:spacing w:before="0" w:after="283"/>
              <w:jc w:val="left"/>
              <w:rPr/>
            </w:pPr>
            <w:r>
              <w:rPr/>
              <w:t>(1)</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both"/>
              <w:rPr/>
            </w:pPr>
            <w:r>
              <w:rPr/>
              <w:t>- Lease payments in respect of:</w:t>
            </w:r>
          </w:p>
        </w:tc>
        <w:tc>
          <w:tcPr>
            <w:tcW w:w="29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95" w:name="xdx_405_eus-gaap--OperatingLeasePayments"/>
            <w:bookmarkEnd w:id="995"/>
          </w:p>
        </w:tc>
      </w:tr>
      <w:tr>
        <w:trPr/>
        <w:tc>
          <w:tcPr>
            <w:tcW w:w="3260" w:type="dxa"/>
            <w:tcBorders/>
            <w:shd w:fill="CCEEFF" w:val="clear"/>
            <w:vAlign w:val="center"/>
          </w:tcPr>
          <w:p>
            <w:pPr>
              <w:pStyle w:val="TableContents"/>
              <w:bidi w:val="0"/>
              <w:spacing w:before="0" w:after="283"/>
              <w:jc w:val="both"/>
              <w:rPr/>
            </w:pPr>
            <w:r>
              <w:rPr/>
              <w:t>Plant and equipment</w:t>
            </w:r>
            <w:bookmarkStart w:id="996" w:name="xdx_F46_zKejAj27QBch"/>
            <w:bookmarkEnd w:id="996"/>
          </w:p>
        </w:tc>
        <w:tc>
          <w:tcPr>
            <w:tcW w:w="290" w:type="dxa"/>
            <w:tcBorders/>
            <w:shd w:fill="CCEEFF" w:val="clear"/>
            <w:vAlign w:val="center"/>
          </w:tcPr>
          <w:p>
            <w:pPr>
              <w:pStyle w:val="TableContents"/>
              <w:bidi w:val="0"/>
              <w:spacing w:before="0" w:after="283"/>
              <w:jc w:val="left"/>
              <w:rPr/>
            </w:pPr>
            <w:r>
              <w:rPr/>
              <w:t>(1)</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131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97" w:name="xdx_40C_eus-gaap--OperatingLeasePayments"/>
            <w:bookmarkEnd w:id="997"/>
          </w:p>
        </w:tc>
      </w:tr>
      <w:tr>
        <w:trPr/>
        <w:tc>
          <w:tcPr>
            <w:tcW w:w="3260" w:type="dxa"/>
            <w:tcBorders/>
            <w:shd w:fill="FFFFFF" w:val="clear"/>
            <w:vAlign w:val="center"/>
          </w:tcPr>
          <w:p>
            <w:pPr>
              <w:pStyle w:val="TableContents"/>
              <w:bidi w:val="0"/>
              <w:spacing w:before="0" w:after="283"/>
              <w:jc w:val="both"/>
              <w:rPr/>
            </w:pPr>
            <w:r>
              <w:rPr/>
              <w:t>Factory premises</w:t>
            </w:r>
            <w:bookmarkStart w:id="998" w:name="xdx_F42_zWPl5qsNB3B5"/>
            <w:bookmarkEnd w:id="998"/>
          </w:p>
        </w:tc>
        <w:tc>
          <w:tcPr>
            <w:tcW w:w="290" w:type="dxa"/>
            <w:tcBorders/>
            <w:shd w:fill="FFFFFF" w:val="clear"/>
            <w:vAlign w:val="center"/>
          </w:tcPr>
          <w:p>
            <w:pPr>
              <w:pStyle w:val="TableContents"/>
              <w:bidi w:val="0"/>
              <w:spacing w:before="0" w:after="283"/>
              <w:jc w:val="left"/>
              <w:rPr/>
            </w:pPr>
            <w:r>
              <w:rPr/>
              <w:t>(1)</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480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1,096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1,234</w:t>
            </w:r>
          </w:p>
        </w:tc>
        <w:tc>
          <w:tcPr>
            <w:tcW w:w="75" w:type="dxa"/>
            <w:tcBorders/>
            <w:shd w:fill="FFFFFF" w:val="clear"/>
            <w:vAlign w:val="center"/>
          </w:tcPr>
          <w:p>
            <w:pPr>
              <w:pStyle w:val="TableContents"/>
              <w:bidi w:val="0"/>
              <w:spacing w:before="0" w:after="283"/>
              <w:jc w:val="left"/>
              <w:rPr/>
            </w:pPr>
            <w:r>
              <w:rPr/>
              <w:t> </w:t>
            </w:r>
            <w:bookmarkStart w:id="999" w:name="xdx_405_eus-gaap--OperatingLeasePayments"/>
            <w:bookmarkEnd w:id="999"/>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 payments</w:t>
            </w:r>
            <w:bookmarkStart w:id="1000" w:name="xdx_F49_znjITyPI6gle"/>
            <w:bookmarkEnd w:id="1000"/>
          </w:p>
        </w:tc>
        <w:tc>
          <w:tcPr>
            <w:tcW w:w="290" w:type="dxa"/>
            <w:tcBorders/>
            <w:shd w:fill="FFFFFF" w:val="clear"/>
            <w:vAlign w:val="center"/>
          </w:tcPr>
          <w:p>
            <w:pPr>
              <w:pStyle w:val="TableContents"/>
              <w:bidi w:val="0"/>
              <w:spacing w:before="0" w:after="283"/>
              <w:jc w:val="left"/>
              <w:rPr/>
            </w:pPr>
            <w:r>
              <w:rPr/>
              <w:t>(1)</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480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1,096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1,234</w:t>
            </w:r>
          </w:p>
        </w:tc>
        <w:tc>
          <w:tcPr>
            <w:tcW w:w="75" w:type="dxa"/>
            <w:tcBorders/>
            <w:shd w:fill="FFFFFF" w:val="clear"/>
            <w:vAlign w:val="center"/>
          </w:tcPr>
          <w:p>
            <w:pPr>
              <w:pStyle w:val="TableContents"/>
              <w:bidi w:val="0"/>
              <w:spacing w:before="0" w:after="283"/>
              <w:jc w:val="left"/>
              <w:rPr/>
            </w:pPr>
            <w:r>
              <w:rPr/>
              <w:t> </w:t>
            </w:r>
            <w:bookmarkStart w:id="1001" w:name="xdx_40E_eus-gaap--ProceedsFromSaleOfMach"/>
            <w:bookmarkEnd w:id="1001"/>
          </w:p>
        </w:tc>
      </w:tr>
      <w:tr>
        <w:trPr/>
        <w:tc>
          <w:tcPr>
            <w:tcW w:w="3260" w:type="dxa"/>
            <w:tcBorders/>
            <w:shd w:fill="CCEEFF" w:val="clear"/>
            <w:vAlign w:val="center"/>
          </w:tcPr>
          <w:p>
            <w:pPr>
              <w:pStyle w:val="TableContents"/>
              <w:bidi w:val="0"/>
              <w:spacing w:before="0" w:after="283"/>
              <w:jc w:val="both"/>
              <w:rPr/>
            </w:pPr>
            <w:r>
              <w:rPr/>
              <w:t>-Sale of equipment</w:t>
            </w:r>
            <w:bookmarkStart w:id="1002" w:name="xdx_F48_z3AeMOOh9T25"/>
            <w:bookmarkEnd w:id="1002"/>
          </w:p>
        </w:tc>
        <w:tc>
          <w:tcPr>
            <w:tcW w:w="290" w:type="dxa"/>
            <w:tcBorders/>
            <w:shd w:fill="CCEEFF" w:val="clear"/>
            <w:vAlign w:val="center"/>
          </w:tcPr>
          <w:p>
            <w:pPr>
              <w:pStyle w:val="TableContents"/>
              <w:bidi w:val="0"/>
              <w:spacing w:before="0" w:after="283"/>
              <w:jc w:val="left"/>
              <w:rPr/>
            </w:pPr>
            <w:r>
              <w:rPr/>
              <w:t>(1)</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1,396</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Ten-League Green Energy Pte. Ltd.</w:t>
            </w:r>
            <w:r>
              <w:rPr>
                <w:rFonts w:ascii="Times New Roman;Times;Serif" w:hAnsi="Times New Roman;Times;Serif"/>
                <w:position w:val="7"/>
                <w:sz w:val="16"/>
                <w:sz w:val="20"/>
              </w:rPr>
              <w:t>(2)</w:t>
            </w:r>
          </w:p>
        </w:tc>
        <w:tc>
          <w:tcPr>
            <w:tcW w:w="29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03" w:name="xdx_407_eus-gaap--CostsAndExpenses_hus-g"/>
            <w:bookmarkEnd w:id="1003"/>
          </w:p>
        </w:tc>
      </w:tr>
      <w:tr>
        <w:trPr/>
        <w:tc>
          <w:tcPr>
            <w:tcW w:w="3260" w:type="dxa"/>
            <w:tcBorders/>
            <w:shd w:fill="CCEEFF" w:val="clear"/>
            <w:vAlign w:val="center"/>
          </w:tcPr>
          <w:p>
            <w:pPr>
              <w:pStyle w:val="TableContents"/>
              <w:bidi w:val="0"/>
              <w:spacing w:before="0" w:after="283"/>
              <w:jc w:val="both"/>
              <w:rPr/>
            </w:pPr>
            <w:r>
              <w:rPr/>
              <w:t>- Subcontract costs</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bookmarkStart w:id="1004" w:name="xdx_F43_zZH9GLRpu7Ta"/>
            <w:bookmarkEnd w:id="1004"/>
            <w:r>
              <w:rPr>
                <w:rFonts w:ascii="Times New Roman;Times;Serif" w:hAnsi="Times New Roman;Times;Serif"/>
                <w:sz w:val="20"/>
              </w:rPr>
              <w:t>(2)</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373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203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related parties are controlled by the common shareholders of the Company.</w:t>
      </w:r>
    </w:p>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60"/>
        <w:gridCol w:w="4040"/>
      </w:tblGrid>
      <w:tr>
        <w:trPr/>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1005" w:name="xdx_F0E_zzjBPkArFeC8"/>
            <w:bookmarkEnd w:id="1005"/>
            <w:r>
              <w:rPr>
                <w:rFonts w:ascii="Times New Roman;Times;Serif" w:hAnsi="Times New Roman;Times;Serif"/>
                <w:b w:val="false"/>
                <w:i/>
                <w:caps w:val="false"/>
                <w:smallCaps w:val="false"/>
                <w:sz w:val="20"/>
              </w:rPr>
              <w:t>(1)</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06" w:name="xdx_F1B_z3gZ8K4eUh0e"/>
            <w:bookmarkEnd w:id="1006"/>
            <w:r>
              <w:rPr>
                <w:rFonts w:ascii="Times New Roman;Times;Serif" w:hAnsi="Times New Roman;Times;Serif"/>
                <w:b w:val="false"/>
                <w:i w:val="false"/>
                <w:caps w:val="false"/>
                <w:smallCaps w:val="false"/>
                <w:sz w:val="20"/>
              </w:rPr>
              <w:t>- Ultimate holding company</w:t>
            </w:r>
          </w:p>
        </w:tc>
      </w:tr>
      <w:tr>
        <w:trPr/>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1007" w:name="xdx_F03_zKqCHlnJg3l5"/>
            <w:bookmarkEnd w:id="1007"/>
            <w:r>
              <w:rPr>
                <w:rFonts w:ascii="Times New Roman;Times;Serif" w:hAnsi="Times New Roman;Times;Serif"/>
                <w:b w:val="false"/>
                <w:i/>
                <w:caps w:val="false"/>
                <w:smallCaps w:val="false"/>
                <w:sz w:val="20"/>
              </w:rPr>
              <w:t>(2)</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08" w:name="xdx_F19_zonusze9hC2i"/>
            <w:bookmarkEnd w:id="1008"/>
            <w:r>
              <w:rPr>
                <w:rFonts w:ascii="Times New Roman;Times;Serif" w:hAnsi="Times New Roman;Times;Serif"/>
                <w:b w:val="false"/>
                <w:i w:val="false"/>
                <w:caps w:val="false"/>
                <w:smallCaps w:val="false"/>
                <w:sz w:val="20"/>
              </w:rPr>
              <w:t xml:space="preserve">- </w:t>
            </w:r>
            <w:bookmarkStart w:id="1009" w:name="xdx_90D_eus-gaap--EquityMethodInvestment"/>
            <w:bookmarkEnd w:id="1009"/>
            <w:r>
              <w:rPr>
                <w:rFonts w:ascii="Times New Roman;Times;Serif" w:hAnsi="Times New Roman;Times;Serif"/>
                <w:b w:val="false"/>
                <w:i w:val="false"/>
                <w:caps w:val="false"/>
                <w:smallCaps w:val="false"/>
                <w:sz w:val="20"/>
              </w:rPr>
              <w:t>100% held by Ten-League Corporations Pte Ltd</w:t>
            </w:r>
          </w:p>
        </w:tc>
      </w:tr>
    </w:tbl>
    <w:p>
      <w:pPr>
        <w:pStyle w:val="TextBody"/>
        <w:bidi w:val="0"/>
        <w:spacing w:before="0" w:after="0"/>
        <w:ind w:left="0" w:right="0" w:hanging="0"/>
        <w:jc w:val="both"/>
        <w:rPr>
          <w:caps w:val="false"/>
          <w:smallCaps w:val="false"/>
        </w:rPr>
      </w:pPr>
      <w:bookmarkStart w:id="1010" w:name="xdx_8AF_zPZBPBPc54Dd"/>
      <w:bookmarkEnd w:id="10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transactions and balances detailed elsewhere in these accompanying consolidated financial statements, the Company has no other significant or material related party transactions during the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11" w:name="xdx_80E_eus-gaap--ConcentrationRiskDiscl"/>
      <w:bookmarkEnd w:id="1011"/>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18 </w:t>
      </w:r>
      <w:bookmarkStart w:id="1012" w:name="xdx_822_zd0kVPlQOPbj"/>
      <w:bookmarkEnd w:id="1012"/>
      <w:r>
        <w:rPr>
          <w:rFonts w:ascii="Times New Roman;Times;Serif" w:hAnsi="Times New Roman;Times;Serif"/>
          <w:b/>
          <w:i w:val="false"/>
          <w:caps w:val="false"/>
          <w:smallCaps w:val="false"/>
          <w:sz w:val="20"/>
        </w:rPr>
        <w:t>CONCENTRATIONS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the following concentrations of risk:</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there was one single customer who accounted approximately for </w:t>
      </w:r>
      <w:bookmarkStart w:id="1013" w:name="xdx_906_eus-gaap--ConcentrationRiskPerce"/>
      <w:bookmarkEnd w:id="1013"/>
      <w:r>
        <w:rPr>
          <w:rFonts w:ascii="Times New Roman;Times;Serif" w:hAnsi="Times New Roman;Times;Serif"/>
          <w:b w:val="false"/>
          <w:i w:val="false"/>
          <w:caps w:val="false"/>
          <w:smallCaps w:val="false"/>
          <w:sz w:val="20"/>
        </w:rPr>
        <w:t>15.2% of the Company’s revenues. Such substantial revenue contribution by this customer was primarily attributable to the sales of a total of twenty-two units of equipment with a combined value of approximately S$</w:t>
      </w:r>
      <w:bookmarkStart w:id="1014" w:name="xdx_90A_eus-gaap--RevenueFromContractWit"/>
      <w:bookmarkEnd w:id="1014"/>
      <w:r>
        <w:rPr>
          <w:rFonts w:ascii="Times New Roman;Times;Serif" w:hAnsi="Times New Roman;Times;Serif"/>
          <w:b w:val="false"/>
          <w:i w:val="false"/>
          <w:caps w:val="false"/>
          <w:smallCaps w:val="false"/>
          <w:sz w:val="20"/>
        </w:rPr>
        <w:t>11.6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there was one single customer who accounted approximately for </w:t>
      </w:r>
      <w:bookmarkStart w:id="1015" w:name="xdx_903_eus-gaap--ConcentrationRiskPerce"/>
      <w:bookmarkEnd w:id="1015"/>
      <w:r>
        <w:rPr>
          <w:rFonts w:ascii="Times New Roman;Times;Serif" w:hAnsi="Times New Roman;Times;Serif"/>
          <w:b w:val="false"/>
          <w:i w:val="false"/>
          <w:caps w:val="false"/>
          <w:smallCaps w:val="false"/>
          <w:sz w:val="20"/>
        </w:rPr>
        <w:t>18.4% of the Company’s revenues. Such substantial revenue contribution by this customer was primarily attributable to the sales of a total of twenty-three units of equipment with a combined value of approximately S$</w:t>
      </w:r>
      <w:bookmarkStart w:id="1016" w:name="xdx_904_eus-gaap--RevenueFromContractWit"/>
      <w:bookmarkEnd w:id="1016"/>
      <w:r>
        <w:rPr>
          <w:rFonts w:ascii="Times New Roman;Times;Serif" w:hAnsi="Times New Roman;Times;Serif"/>
          <w:b w:val="false"/>
          <w:i w:val="false"/>
          <w:caps w:val="false"/>
          <w:smallCaps w:val="false"/>
          <w:sz w:val="20"/>
        </w:rPr>
        <w:t>10.8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there was one single customer who accounted approximately for </w:t>
      </w:r>
      <w:bookmarkStart w:id="1017" w:name="xdx_90A_eus-gaap--ConcentrationRiskPerce"/>
      <w:bookmarkEnd w:id="1017"/>
      <w:r>
        <w:rPr>
          <w:rFonts w:ascii="Times New Roman;Times;Serif" w:hAnsi="Times New Roman;Times;Serif"/>
          <w:b w:val="false"/>
          <w:i w:val="false"/>
          <w:caps w:val="false"/>
          <w:smallCaps w:val="false"/>
          <w:sz w:val="20"/>
        </w:rPr>
        <w:t>9.5% of the Company’s revenues. Such substantial revenue contribution by this customer was primarily attributable to the sales of a total of seven units of equipment with a combined value of approximately S$</w:t>
      </w:r>
      <w:bookmarkStart w:id="1018" w:name="xdx_90D_eus-gaap--RevenueFromContractWit"/>
      <w:bookmarkEnd w:id="1018"/>
      <w:r>
        <w:rPr>
          <w:rFonts w:ascii="Times New Roman;Times;Serif" w:hAnsi="Times New Roman;Times;Serif"/>
          <w:b w:val="false"/>
          <w:i w:val="false"/>
          <w:caps w:val="false"/>
          <w:smallCaps w:val="false"/>
          <w:sz w:val="20"/>
        </w:rPr>
        <w:t>6.9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customer for December 31, 2023, 2024 and 2025 is the same major customer.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Vendor A accounted for </w:t>
      </w:r>
      <w:bookmarkStart w:id="1019" w:name="xdx_90F_eus-gaap--ConcentrationRiskPerce"/>
      <w:bookmarkEnd w:id="1019"/>
      <w:r>
        <w:rPr>
          <w:rFonts w:ascii="Times New Roman;Times;Serif" w:hAnsi="Times New Roman;Times;Serif"/>
          <w:b w:val="false"/>
          <w:i w:val="false"/>
          <w:caps w:val="false"/>
          <w:smallCaps w:val="false"/>
          <w:sz w:val="20"/>
        </w:rPr>
        <w:t xml:space="preserve">64.5% or more of the Company’s purchases. For the year ended December 31, 2024, Vendor A accounted for </w:t>
      </w:r>
      <w:bookmarkStart w:id="1020" w:name="xdx_90A_eus-gaap--ConcentrationRiskPerce"/>
      <w:bookmarkEnd w:id="1020"/>
      <w:r>
        <w:rPr>
          <w:rFonts w:ascii="Times New Roman;Times;Serif" w:hAnsi="Times New Roman;Times;Serif"/>
          <w:b w:val="false"/>
          <w:i w:val="false"/>
          <w:caps w:val="false"/>
          <w:smallCaps w:val="false"/>
          <w:sz w:val="20"/>
        </w:rPr>
        <w:t xml:space="preserve">67.2% or more of the Company’s purchases. For the year ended December 31, 2023, Vendor A accounted for </w:t>
      </w:r>
      <w:bookmarkStart w:id="1021" w:name="xdx_90F_eus-gaap--ConcentrationRiskPerce"/>
      <w:bookmarkEnd w:id="1021"/>
      <w:r>
        <w:rPr>
          <w:rFonts w:ascii="Times New Roman;Times;Serif" w:hAnsi="Times New Roman;Times;Serif"/>
          <w:b w:val="false"/>
          <w:i w:val="false"/>
          <w:caps w:val="false"/>
          <w:smallCaps w:val="false"/>
          <w:sz w:val="20"/>
        </w:rPr>
        <w:t>71.1% or more of the Company’s purchases. Its outstanding payable balance as at each period, is presented as follows:</w:t>
      </w:r>
    </w:p>
    <w:p>
      <w:pPr>
        <w:pStyle w:val="TextBody"/>
        <w:bidi w:val="0"/>
        <w:ind w:left="0" w:right="0" w:hanging="0"/>
        <w:jc w:val="left"/>
        <w:rPr>
          <w:caps w:val="false"/>
          <w:smallCaps w:val="false"/>
        </w:rPr>
      </w:pPr>
      <w:bookmarkStart w:id="1022" w:name="xdx_898_eus-gaap--SchedulesOfConcentrati"/>
      <w:bookmarkEnd w:id="1022"/>
      <w:r>
        <w:rPr>
          <w:caps w:val="false"/>
          <w:smallCaps w:val="false"/>
        </w:rPr>
        <w:t> </w:t>
      </w:r>
      <w:bookmarkStart w:id="1023" w:name="xdx_8B9_zN2UHfBLJCn3"/>
      <w:bookmarkEnd w:id="1023"/>
      <w:r>
        <w:rPr>
          <w:rFonts w:ascii="Times New Roman;Times;Serif" w:hAnsi="Times New Roman;Times;Serif"/>
          <w:b w:val="false"/>
          <w:i w:val="false"/>
          <w:caps w:val="false"/>
          <w:smallCaps w:val="false"/>
          <w:sz w:val="20"/>
        </w:rPr>
        <w:t>SCHEDULE OF OUTSANDING PAYABLE</w:t>
      </w:r>
    </w:p>
    <w:tbl>
      <w:tblPr>
        <w:tblW w:w="5108" w:type="dxa"/>
        <w:jc w:val="left"/>
        <w:tblInd w:w="0" w:type="dxa"/>
        <w:tblLayout w:type="fixed"/>
        <w:tblCellMar>
          <w:top w:w="0" w:type="dxa"/>
          <w:left w:w="0" w:type="dxa"/>
          <w:bottom w:w="0" w:type="dxa"/>
          <w:right w:w="0" w:type="dxa"/>
        </w:tblCellMar>
      </w:tblPr>
      <w:tblGrid>
        <w:gridCol w:w="815"/>
        <w:gridCol w:w="60"/>
        <w:gridCol w:w="151"/>
        <w:gridCol w:w="963"/>
        <w:gridCol w:w="60"/>
        <w:gridCol w:w="60"/>
        <w:gridCol w:w="86"/>
        <w:gridCol w:w="699"/>
        <w:gridCol w:w="60"/>
        <w:gridCol w:w="60"/>
        <w:gridCol w:w="151"/>
        <w:gridCol w:w="963"/>
        <w:gridCol w:w="60"/>
        <w:gridCol w:w="60"/>
        <w:gridCol w:w="86"/>
        <w:gridCol w:w="699"/>
        <w:gridCol w:w="75"/>
      </w:tblGrid>
      <w:tr>
        <w:trPr/>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000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24" w:name="xdx_907_eus-gaap--ConcentrationRiskPerce"/>
            <w:bookmarkEnd w:id="1024"/>
            <w:r>
              <w:rPr>
                <w:rFonts w:ascii="Times New Roman;Times;Serif" w:hAnsi="Times New Roman;Times;Serif"/>
                <w:b w:val="false"/>
                <w:i w:val="false"/>
                <w:caps w:val="false"/>
                <w:smallCaps w:val="false"/>
                <w:sz w:val="20"/>
              </w:rPr>
              <w:t>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25" w:name="xdx_90D_eus-gaap--AccountsPayableCurrent"/>
            <w:bookmarkEnd w:id="1025"/>
            <w:r>
              <w:rPr>
                <w:rFonts w:ascii="Times New Roman;Times;Serif" w:hAnsi="Times New Roman;Times;Serif"/>
                <w:b w:val="false"/>
                <w:i w:val="false"/>
                <w:caps w:val="false"/>
                <w:smallCaps w:val="false"/>
                <w:sz w:val="20"/>
              </w:rPr>
              <w:t>7,141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26" w:name="xdx_90E_eus-gaap--ConcentrationRiskPerce"/>
            <w:bookmarkEnd w:id="1026"/>
            <w:r>
              <w:rPr>
                <w:rFonts w:ascii="Times New Roman;Times;Serif" w:hAnsi="Times New Roman;Times;Serif"/>
                <w:b w:val="false"/>
                <w:i w:val="false"/>
                <w:caps w:val="false"/>
                <w:smallCaps w:val="false"/>
                <w:sz w:val="20"/>
              </w:rPr>
              <w:t>64.5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27" w:name="xdx_904_eus-gaap--AccountsPayableCurrent"/>
            <w:bookmarkEnd w:id="1027"/>
            <w:r>
              <w:rPr>
                <w:rFonts w:ascii="Times New Roman;Times;Serif" w:hAnsi="Times New Roman;Times;Serif"/>
                <w:b w:val="false"/>
                <w:i w:val="false"/>
                <w:caps w:val="false"/>
                <w:smallCaps w:val="false"/>
                <w:sz w:val="20"/>
              </w:rPr>
              <w:t>8,062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28" w:name="xdx_8A2_zs1dkB3GHylb"/>
      <w:bookmarkEnd w:id="1028"/>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60"/>
        <w:gridCol w:w="89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of only dealing with creditworthy counterparties. The Company performs ongoing credit evaluation of its counterparties’ financial condition and generally do not require a collateral. The Company also considers the probability of default upon initial recognition of asset and whether there has been a significant increase in credit risk on an ongoing basis throughout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default event on a financial asset to be when internal and/or external information indicates that the financial asset is unlikely to be received, which could include default of contractual payments due for more than 90 days, default of interest due for more than 365 days or there is significant difficulty of the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minimize credit risk, the Company has developed and maintained its credit risk grading to categorize exposures according to their degree of risk of default. The credit rating information is supplied by publicly available financial information and the Company’s own trading records to rate its major customers and other debtors. The Company considers available reasonable and supportive forward-looking information which includes the following indicators: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significant adverse changes in business, financial or economic conditions that are expected to cause a significant change to the debtor’s ability to meet its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credit rating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credit rating and when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analysis above, a significant increase in credit risk is presumed if a debtor is more than 30 days past due in making contractual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approximately S$</w:t>
      </w:r>
      <w:bookmarkStart w:id="1029" w:name="xdx_909_eus-gaap--AccountsReceivableNetC"/>
      <w:bookmarkEnd w:id="1029"/>
      <w:r>
        <w:rPr>
          <w:rFonts w:ascii="Times New Roman;Times;Serif" w:hAnsi="Times New Roman;Times;Serif"/>
          <w:b w:val="false"/>
          <w:i w:val="false"/>
          <w:caps w:val="false"/>
          <w:smallCaps w:val="false"/>
          <w:sz w:val="20"/>
        </w:rPr>
        <w:t xml:space="preserve">3.3 million outstanding from a single customer representing </w:t>
      </w:r>
      <w:bookmarkStart w:id="1030" w:name="xdx_90C_eus-gaap--ConcentrationRiskPerce"/>
      <w:bookmarkEnd w:id="1030"/>
      <w:r>
        <w:rPr>
          <w:rFonts w:ascii="Times New Roman;Times;Serif" w:hAnsi="Times New Roman;Times;Serif"/>
          <w:b w:val="false"/>
          <w:i w:val="false"/>
          <w:caps w:val="false"/>
          <w:smallCaps w:val="false"/>
          <w:sz w:val="20"/>
        </w:rPr>
        <w:t>23.0% of the total net account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there was approximately S$</w:t>
      </w:r>
      <w:bookmarkStart w:id="1031" w:name="xdx_90D_eus-gaap--AccountsReceivableNetC"/>
      <w:bookmarkEnd w:id="1031"/>
      <w:r>
        <w:rPr>
          <w:rFonts w:ascii="Times New Roman;Times;Serif" w:hAnsi="Times New Roman;Times;Serif"/>
          <w:b w:val="false"/>
          <w:i w:val="false"/>
          <w:caps w:val="false"/>
          <w:smallCaps w:val="false"/>
          <w:sz w:val="20"/>
        </w:rPr>
        <w:t xml:space="preserve">1.9 million outstanding from a single customer representing </w:t>
      </w:r>
      <w:bookmarkStart w:id="1032" w:name="xdx_90A_eus-gaap--ConcentrationRiskPerce"/>
      <w:bookmarkEnd w:id="1032"/>
      <w:r>
        <w:rPr>
          <w:rFonts w:ascii="Times New Roman;Times;Serif" w:hAnsi="Times New Roman;Times;Serif"/>
          <w:b w:val="false"/>
          <w:i w:val="false"/>
          <w:caps w:val="false"/>
          <w:smallCaps w:val="false"/>
          <w:sz w:val="20"/>
        </w:rPr>
        <w:t>11.6% of the total net account receivable balances.</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no significant interest-bearing assets, the Company’s income and operating cash flows are substantially independent of changes in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December 31, 2023, 2024 and 2025, the term loans were at fixed interest rates.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foreign exchange risk results mainly from cash flows from transactions denominated in foreign currencies. At present, the Company does not have any formal policy for hedging against currency risk. The Company ensures that the net exposure is kept to an acceptable level by buying or selling foreign currencies at spot rates, where necessary, to address short-term imbalances.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transactional currency exposures arising from sales or purchases that are denominated in a currency other than the functional currency of the Company, primarily Chinese Renminbi. The Company’s exposure to Chinese Renminbi is minimal and is not expect to have a material impact. </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45"/>
        <w:gridCol w:w="116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ensures that it has sufficient cash and bank balances, and liquid assets to meet its expected operational expenses, including servicing for financial obligations and 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33" w:name="xdx_80A_eus-gaap--CommitmentsAndContinge"/>
      <w:bookmarkEnd w:id="1033"/>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19 </w:t>
      </w:r>
      <w:bookmarkStart w:id="1034" w:name="xdx_828_zUVZthi0sDMh"/>
      <w:bookmarkEnd w:id="103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Litigation </w:t>
      </w:r>
      <w:r>
        <w:rPr>
          <w:rFonts w:ascii="Times New Roman;Times;Serif" w:hAnsi="Times New Roman;Times;Serif"/>
          <w:b w:val="false"/>
          <w:i w:val="false"/>
          <w:caps w:val="false"/>
          <w:smallCaps w:val="false"/>
          <w:sz w:val="20"/>
        </w:rPr>
        <w:t>— From time to time, the Company may be involved in various legal proceedings and claims in the ordinary course of business. The Company currently is not aware of any legal proceedings or claims that it believes will have, individually or in the aggregate, a material adverse effect on its business, financial condition, operating results,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9 April 2024 a crane owned by Ten-League Engineering &amp; Technology Pte. Ltd. (“TLET”) overturned in the vicinity of a job site, resulting in damage to a vehicle. The incident was investigated by the relevant authorities and TLET has since paid a composition fine. No formal charges have been instituted against TLET.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17 July 2024, TLET received a letter of demand from Claimant A’s solicitor claiming losses and damages allegedly suffered as a result of the incident and work stoppage on the project worksite estimated at approximately S$</w:t>
      </w:r>
      <w:bookmarkStart w:id="1035" w:name="xdx_902_eus-gaap--LossContingencyDamages"/>
      <w:bookmarkEnd w:id="1035"/>
      <w:r>
        <w:rPr>
          <w:rFonts w:ascii="Times New Roman;Times;Serif" w:hAnsi="Times New Roman;Times;Serif"/>
          <w:b w:val="false"/>
          <w:i w:val="false"/>
          <w:caps w:val="false"/>
          <w:smallCaps w:val="false"/>
          <w:sz w:val="20"/>
        </w:rPr>
        <w:t>1.72 million. Claimant A, who had at the material time been leasing the machinery from TLET. To-date, Claimant A has not commenced legal proceedings, and no further communication has been received. TLET has notified its insurer in respect of the same and the insurer has not repudiated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15 August 2024, TLET received a letter of demand from Claimant B’s solicitor claiming damages to the vehicle and related expenses of approximately S$</w:t>
      </w:r>
      <w:bookmarkStart w:id="1036" w:name="xdx_906_eus-gaap--LossContingencyDamages"/>
      <w:bookmarkEnd w:id="1036"/>
      <w:r>
        <w:rPr>
          <w:rFonts w:ascii="Times New Roman;Times;Serif" w:hAnsi="Times New Roman;Times;Serif"/>
          <w:b w:val="false"/>
          <w:i w:val="false"/>
          <w:caps w:val="false"/>
          <w:smallCaps w:val="false"/>
          <w:sz w:val="20"/>
        </w:rPr>
        <w:t>84,000. Claimant B was the purported owner of the damaged vehicle. TLET has notified its insurer of the same. The insurers have not repudiated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known claims against TLET in respect of the 9 April 2024 accident.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no material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37" w:name="xdx_803_eus-gaap--SubsequentEventsTextBl"/>
      <w:bookmarkEnd w:id="1037"/>
      <w:r>
        <w:rPr>
          <w:rFonts w:ascii="Times New Roman;Times;Serif" w:hAnsi="Times New Roman;Times;Serif"/>
          <w:b/>
          <w:i w:val="false"/>
          <w:caps w:val="false"/>
          <w:smallCaps w:val="false"/>
          <w:sz w:val="20"/>
        </w:rPr>
        <w:t>NOTE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20 </w:t>
      </w:r>
      <w:bookmarkStart w:id="1038" w:name="xdx_82C_zhZfwIZfKcn"/>
      <w:bookmarkEnd w:id="103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855,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which establishes general standards of accounting for and disclosure of events that occur after the balance sheet date but before consolidated financial statements are issued, the Company has evaluated all events or transactions that occurred after December 31, 2025, up through the date the Company issued the consolidated financial statements.</w:t>
      </w:r>
    </w:p>
    <w:p>
      <w:pPr>
        <w:pStyle w:val="TextBody"/>
        <w:bidi w:val="0"/>
        <w:spacing w:before="0" w:after="0"/>
        <w:ind w:left="0" w:right="0" w:hanging="0"/>
        <w:jc w:val="both"/>
        <w:rPr>
          <w:caps w:val="false"/>
          <w:smallCaps w:val="false"/>
        </w:rPr>
      </w:pPr>
      <w:bookmarkStart w:id="1039" w:name="xdx_81B_zavfkyV2JcOc"/>
      <w:bookmarkEnd w:id="103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ind w:left="0" w:right="0" w:hanging="0"/>
        <w:jc w:val="center"/>
        <w:rPr>
          <w:caps w:val="false"/>
          <w:smallCaps w:val="false"/>
        </w:rPr>
      </w:pPr>
      <w:bookmarkStart w:id="1040" w:name="ex12-1.htm"/>
      <w:bookmarkStart w:id="1041" w:name="ksex121"/>
      <w:bookmarkEnd w:id="1040"/>
      <w:bookmarkEnd w:id="104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Jison Lim, certify that:</w:t>
      </w:r>
    </w:p>
    <w:p>
      <w:pPr>
        <w:pStyle w:val="TextBody"/>
        <w:bidi w:val="0"/>
        <w:jc w:val="left"/>
        <w:rPr>
          <w:caps w:val="false"/>
          <w:smallCaps w:val="false"/>
        </w:rPr>
      </w:pPr>
      <w:r>
        <w:rPr>
          <w:caps w:val="false"/>
          <w:smallCaps w:val="false"/>
        </w:rPr>
        <w:t> </w:t>
      </w:r>
    </w:p>
    <w:tbl>
      <w:tblPr>
        <w:tblW w:w="9415" w:type="dxa"/>
        <w:jc w:val="left"/>
        <w:tblInd w:w="0" w:type="dxa"/>
        <w:shd w:fill="FFFFFF" w:val="clear"/>
        <w:tblLayout w:type="fixed"/>
        <w:tblCellMar>
          <w:top w:w="0" w:type="dxa"/>
          <w:left w:w="0" w:type="dxa"/>
          <w:bottom w:w="0" w:type="dxa"/>
          <w:right w:w="0" w:type="dxa"/>
        </w:tblCellMar>
      </w:tblPr>
      <w:tblGrid>
        <w:gridCol w:w="185"/>
        <w:gridCol w:w="9230"/>
      </w:tblGrid>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Ten-League International Holdings Limited (the “Company”);</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7"/>
        <w:gridCol w:w="10048"/>
      </w:tblGrid>
      <w:tr>
        <w:trPr/>
        <w:tc>
          <w:tcPr>
            <w:tcW w:w="15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9"/>
        <w:gridCol w:w="10046"/>
      </w:tblGrid>
      <w:tr>
        <w:trPr/>
        <w:tc>
          <w:tcPr>
            <w:tcW w:w="15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64"/>
        <w:gridCol w:w="10041"/>
      </w:tblGrid>
      <w:tr>
        <w:trPr/>
        <w:tc>
          <w:tcPr>
            <w:tcW w:w="1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for the Company and have:</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8"/>
        <w:gridCol w:w="9942"/>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4"/>
        <w:gridCol w:w="9926"/>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5"/>
        <w:gridCol w:w="993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9"/>
        <w:gridCol w:w="9921"/>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8"/>
        <w:gridCol w:w="10047"/>
      </w:tblGrid>
      <w:tr>
        <w:trPr/>
        <w:tc>
          <w:tcPr>
            <w:tcW w:w="1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6"/>
        <w:gridCol w:w="9934"/>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7"/>
        <w:gridCol w:w="9903"/>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jc w:val="left"/>
        <w:rPr>
          <w:caps w:val="false"/>
          <w:smallCaps w:val="false"/>
        </w:rPr>
      </w:pPr>
      <w:r>
        <w:rPr>
          <w:caps w:val="false"/>
          <w:smallCaps w:val="false"/>
        </w:rPr>
        <w:t> </w:t>
      </w:r>
    </w:p>
    <w:tbl>
      <w:tblPr>
        <w:tblW w:w="4555" w:type="dxa"/>
        <w:jc w:val="left"/>
        <w:tblInd w:w="0" w:type="dxa"/>
        <w:shd w:fill="FFFFFF" w:val="clear"/>
        <w:tblLayout w:type="fixed"/>
        <w:tblCellMar>
          <w:top w:w="0" w:type="dxa"/>
          <w:left w:w="0" w:type="dxa"/>
          <w:bottom w:w="0" w:type="dxa"/>
          <w:right w:w="0" w:type="dxa"/>
        </w:tblCellMar>
      </w:tblPr>
      <w:tblGrid>
        <w:gridCol w:w="605"/>
        <w:gridCol w:w="3875"/>
        <w:gridCol w:w="75"/>
      </w:tblGrid>
      <w:tr>
        <w:trPr/>
        <w:tc>
          <w:tcPr>
            <w:tcW w:w="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Jison Lim</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Jison Lim</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1042" w:name="ex12-2.htm"/>
      <w:bookmarkStart w:id="1043" w:name="ksex122"/>
      <w:bookmarkEnd w:id="1042"/>
      <w:bookmarkEnd w:id="1043"/>
      <w:r>
        <w:rPr/>
        <w:t> </w:t>
      </w:r>
      <w:r>
        <w:br w:type="page"/>
      </w:r>
    </w:p>
    <w:p>
      <w:pPr>
        <w:pStyle w:val="TextBody"/>
        <w:shd w:fill="FFFFFF" w:val="clear"/>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Lim Boon Ping, certify that:</w:t>
      </w:r>
    </w:p>
    <w:p>
      <w:pPr>
        <w:pStyle w:val="TextBody"/>
        <w:shd w:fill="FFFFFF" w:val="clear"/>
        <w:bidi w:val="0"/>
        <w:jc w:val="left"/>
        <w:rPr>
          <w:caps w:val="false"/>
          <w:smallCaps w:val="false"/>
        </w:rPr>
      </w:pPr>
      <w:r>
        <w:rPr>
          <w:caps w:val="false"/>
          <w:smallCaps w:val="false"/>
        </w:rPr>
        <w:t> </w:t>
      </w:r>
    </w:p>
    <w:tbl>
      <w:tblPr>
        <w:tblW w:w="9415" w:type="dxa"/>
        <w:jc w:val="left"/>
        <w:tblInd w:w="0" w:type="dxa"/>
        <w:shd w:fill="FFFFFF" w:val="clear"/>
        <w:tblLayout w:type="fixed"/>
        <w:tblCellMar>
          <w:top w:w="0" w:type="dxa"/>
          <w:left w:w="0" w:type="dxa"/>
          <w:bottom w:w="0" w:type="dxa"/>
          <w:right w:w="0" w:type="dxa"/>
        </w:tblCellMar>
      </w:tblPr>
      <w:tblGrid>
        <w:gridCol w:w="185"/>
        <w:gridCol w:w="9230"/>
      </w:tblGrid>
      <w:tr>
        <w:trPr/>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Ten-League International Holdings Limited (the “Company”);</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7"/>
        <w:gridCol w:w="10048"/>
      </w:tblGrid>
      <w:tr>
        <w:trPr/>
        <w:tc>
          <w:tcPr>
            <w:tcW w:w="15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4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9"/>
        <w:gridCol w:w="10046"/>
      </w:tblGrid>
      <w:tr>
        <w:trPr/>
        <w:tc>
          <w:tcPr>
            <w:tcW w:w="159"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4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6"/>
        <w:gridCol w:w="10049"/>
      </w:tblGrid>
      <w:tr>
        <w:trPr/>
        <w:tc>
          <w:tcPr>
            <w:tcW w:w="15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49"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8"/>
        <w:gridCol w:w="9942"/>
      </w:tblGrid>
      <w:tr>
        <w:trPr/>
        <w:tc>
          <w:tcPr>
            <w:tcW w:w="75" w:type="dxa"/>
            <w:tcBorders/>
            <w:shd w:fill="FFFFFF" w:val="clear"/>
            <w:vAlign w:val="center"/>
          </w:tcPr>
          <w:p>
            <w:pPr>
              <w:pStyle w:val="TableContents"/>
              <w:bidi w:val="0"/>
              <w:spacing w:before="0" w:after="283"/>
              <w:jc w:val="both"/>
              <w:rPr/>
            </w:pPr>
            <w:r>
              <w:rPr/>
              <w:t> </w:t>
            </w:r>
          </w:p>
        </w:tc>
        <w:tc>
          <w:tcPr>
            <w:tcW w:w="18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4"/>
        <w:gridCol w:w="9926"/>
      </w:tblGrid>
      <w:tr>
        <w:trPr/>
        <w:tc>
          <w:tcPr>
            <w:tcW w:w="75" w:type="dxa"/>
            <w:tcBorders/>
            <w:shd w:fill="FFFFFF" w:val="clear"/>
            <w:vAlign w:val="center"/>
          </w:tcPr>
          <w:p>
            <w:pPr>
              <w:pStyle w:val="TableContents"/>
              <w:bidi w:val="0"/>
              <w:spacing w:before="0" w:after="283"/>
              <w:jc w:val="both"/>
              <w:rPr/>
            </w:pPr>
            <w:r>
              <w:rPr/>
              <w:t> </w:t>
            </w:r>
          </w:p>
        </w:tc>
        <w:tc>
          <w:tcPr>
            <w:tcW w:w="20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5"/>
        <w:gridCol w:w="9935"/>
      </w:tblGrid>
      <w:tr>
        <w:trPr/>
        <w:tc>
          <w:tcPr>
            <w:tcW w:w="75" w:type="dxa"/>
            <w:tcBorders/>
            <w:shd w:fill="FFFFFF" w:val="clear"/>
            <w:vAlign w:val="center"/>
          </w:tcPr>
          <w:p>
            <w:pPr>
              <w:pStyle w:val="TableContents"/>
              <w:bidi w:val="0"/>
              <w:spacing w:before="0" w:after="283"/>
              <w:jc w:val="both"/>
              <w:rPr/>
            </w:pPr>
            <w:r>
              <w:rPr/>
              <w:t> </w:t>
            </w:r>
          </w:p>
        </w:tc>
        <w:tc>
          <w:tcPr>
            <w:tcW w:w="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9"/>
        <w:gridCol w:w="9921"/>
      </w:tblGrid>
      <w:tr>
        <w:trPr/>
        <w:tc>
          <w:tcPr>
            <w:tcW w:w="75" w:type="dxa"/>
            <w:tcBorders/>
            <w:shd w:fill="FFFFFF" w:val="clear"/>
            <w:vAlign w:val="center"/>
          </w:tcPr>
          <w:p>
            <w:pPr>
              <w:pStyle w:val="TableContents"/>
              <w:bidi w:val="0"/>
              <w:spacing w:before="0" w:after="283"/>
              <w:jc w:val="both"/>
              <w:rPr/>
            </w:pPr>
            <w:r>
              <w:rPr/>
              <w:t> </w:t>
            </w:r>
          </w:p>
        </w:tc>
        <w:tc>
          <w:tcPr>
            <w:tcW w:w="209"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8"/>
        <w:gridCol w:w="10047"/>
      </w:tblGrid>
      <w:tr>
        <w:trPr/>
        <w:tc>
          <w:tcPr>
            <w:tcW w:w="15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6"/>
        <w:gridCol w:w="9934"/>
      </w:tblGrid>
      <w:tr>
        <w:trPr/>
        <w:tc>
          <w:tcPr>
            <w:tcW w:w="75"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7"/>
        <w:gridCol w:w="9903"/>
      </w:tblGrid>
      <w:tr>
        <w:trPr/>
        <w:tc>
          <w:tcPr>
            <w:tcW w:w="75" w:type="dxa"/>
            <w:tcBorders/>
            <w:shd w:fill="FFFFFF" w:val="clear"/>
            <w:vAlign w:val="center"/>
          </w:tcPr>
          <w:p>
            <w:pPr>
              <w:pStyle w:val="TableContents"/>
              <w:bidi w:val="0"/>
              <w:spacing w:before="0" w:after="283"/>
              <w:jc w:val="both"/>
              <w:rPr/>
            </w:pPr>
            <w:r>
              <w:rPr/>
              <w:t> </w:t>
            </w:r>
          </w:p>
        </w:tc>
        <w:tc>
          <w:tcPr>
            <w:tcW w:w="22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0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shd w:fill="FFFFFF" w:val="clear"/>
        <w:bidi w:val="0"/>
        <w:jc w:val="left"/>
        <w:rPr>
          <w:caps w:val="false"/>
          <w:smallCaps w:val="false"/>
        </w:rPr>
      </w:pPr>
      <w:r>
        <w:rPr>
          <w:caps w:val="false"/>
          <w:smallCaps w:val="false"/>
        </w:rPr>
        <w:t> </w:t>
      </w:r>
    </w:p>
    <w:tbl>
      <w:tblPr>
        <w:tblW w:w="1960" w:type="dxa"/>
        <w:jc w:val="left"/>
        <w:tblInd w:w="0" w:type="dxa"/>
        <w:shd w:fill="FFFFFF" w:val="clear"/>
        <w:tblLayout w:type="fixed"/>
        <w:tblCellMar>
          <w:top w:w="0" w:type="dxa"/>
          <w:left w:w="0" w:type="dxa"/>
          <w:bottom w:w="0" w:type="dxa"/>
          <w:right w:w="0" w:type="dxa"/>
        </w:tblCellMar>
      </w:tblPr>
      <w:tblGrid>
        <w:gridCol w:w="470"/>
        <w:gridCol w:w="1415"/>
        <w:gridCol w:w="75"/>
      </w:tblGrid>
      <w:tr>
        <w:trPr/>
        <w:tc>
          <w:tcPr>
            <w:tcW w:w="4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15" w:type="dxa"/>
            <w:tcBorders/>
            <w:shd w:fill="FFFFFF" w:val="clear"/>
            <w:vAlign w:val="center"/>
          </w:tcPr>
          <w:p>
            <w:pPr>
              <w:pStyle w:val="TableContents"/>
              <w:bidi w:val="0"/>
              <w:spacing w:before="0" w:after="283"/>
              <w:jc w:val="left"/>
              <w:rPr/>
            </w:pPr>
            <w:r>
              <w:rPr/>
              <w:t>April 30,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560" w:type="dxa"/>
        <w:jc w:val="left"/>
        <w:tblInd w:w="0" w:type="dxa"/>
        <w:shd w:fill="FFFFFF" w:val="clear"/>
        <w:tblLayout w:type="fixed"/>
        <w:tblCellMar>
          <w:top w:w="0" w:type="dxa"/>
          <w:left w:w="0" w:type="dxa"/>
          <w:bottom w:w="0" w:type="dxa"/>
          <w:right w:w="0" w:type="dxa"/>
        </w:tblCellMar>
      </w:tblPr>
      <w:tblGrid>
        <w:gridCol w:w="605"/>
        <w:gridCol w:w="1880"/>
        <w:gridCol w:w="75"/>
      </w:tblGrid>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 Boon Ping</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 Boon Ping</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pPr>
      <w:bookmarkStart w:id="1044" w:name="ex13-1.htm"/>
      <w:bookmarkStart w:id="1045" w:name="ksex131"/>
      <w:bookmarkEnd w:id="1044"/>
      <w:bookmarkEnd w:id="1045"/>
      <w:r>
        <w:rPr/>
        <w:t> </w:t>
      </w:r>
      <w:r>
        <w:br w:type="page"/>
      </w:r>
    </w:p>
    <w:p>
      <w:pPr>
        <w:pStyle w:val="TextBody"/>
        <w:shd w:fill="FFFFFF" w:val="clear"/>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shd w:fill="FFFFFF" w:val="clear"/>
        <w:bidi w:val="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Ten-League International Holdings Limited (the “Company”) on Form 20-F for the year ended December 31, 2025 as filed with the Securities and Exchange Commission on the date hereof (the “Report”), I, Jison Lim, Director, Chairman and Chief Executive Officer of the Company, certify, pursuant to 18 U.S.C. Section 1350, as adopted pursuant to Section 906 of the Sarbanes-Oxley Act of 2002, that to the best of my knowledge:</w:t>
      </w:r>
    </w:p>
    <w:p>
      <w:pPr>
        <w:pStyle w:val="TextBody"/>
        <w:shd w:fill="FFFFFF" w:val="clear"/>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both"/>
              <w:rPr/>
            </w:pPr>
            <w:r>
              <w:rPr/>
              <w:t> </w:t>
            </w:r>
          </w:p>
        </w:tc>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hd w:fill="FFFFFF" w:val="clear"/>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hd w:fill="FFFFFF" w:val="clear"/>
        <w:bidi w:val="0"/>
        <w:jc w:val="left"/>
        <w:rPr>
          <w:caps w:val="false"/>
          <w:smallCaps w:val="false"/>
        </w:rPr>
      </w:pPr>
      <w:r>
        <w:rPr>
          <w:caps w:val="false"/>
          <w:smallCaps w:val="false"/>
        </w:rPr>
        <w:t> </w:t>
      </w:r>
    </w:p>
    <w:tbl>
      <w:tblPr>
        <w:tblW w:w="4555" w:type="dxa"/>
        <w:jc w:val="left"/>
        <w:tblInd w:w="0" w:type="dxa"/>
        <w:shd w:fill="FFFFFF" w:val="clear"/>
        <w:tblLayout w:type="fixed"/>
        <w:tblCellMar>
          <w:top w:w="0" w:type="dxa"/>
          <w:left w:w="0" w:type="dxa"/>
          <w:bottom w:w="0" w:type="dxa"/>
          <w:right w:w="0" w:type="dxa"/>
        </w:tblCellMar>
      </w:tblPr>
      <w:tblGrid>
        <w:gridCol w:w="605"/>
        <w:gridCol w:w="3875"/>
        <w:gridCol w:w="75"/>
      </w:tblGrid>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3875" w:type="dxa"/>
            <w:tcBorders/>
            <w:shd w:fill="FFFFFF" w:val="clear"/>
            <w:vAlign w:val="center"/>
          </w:tcPr>
          <w:p>
            <w:pPr>
              <w:pStyle w:val="TableContents"/>
              <w:bidi w:val="0"/>
              <w:spacing w:before="0" w:after="283"/>
              <w:jc w:val="left"/>
              <w:rPr/>
            </w:pPr>
            <w:r>
              <w:rPr/>
              <w:t>April 30, 2026</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pPr>
            <w:r>
              <w:rPr/>
              <w:t> </w:t>
            </w:r>
          </w:p>
        </w:tc>
        <w:tc>
          <w:tcPr>
            <w:tcW w:w="38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Jison Lim</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Jison Lim</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Chairman and Chief Executive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1046" w:name="ex13-2.htm"/>
      <w:bookmarkStart w:id="1047" w:name="ksex132"/>
      <w:bookmarkEnd w:id="1046"/>
      <w:bookmarkEnd w:id="1047"/>
      <w:r>
        <w:rPr/>
        <w:t> </w:t>
      </w:r>
      <w:r>
        <w:br w:type="page"/>
      </w:r>
    </w:p>
    <w:p>
      <w:pPr>
        <w:pStyle w:val="TextBody"/>
        <w:shd w:fill="FFFFFF" w:val="clear"/>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shd w:fill="FFFFFF" w:val="clear"/>
        <w:bidi w:val="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Ten-League International Holdings Limited (the “Company”) on Form 20-F for the year ended December 31, 2025 as filed with the Securities and Exchange Commission on the date hereof (the “Report”), I, Lim Boon Ping, Chief Financial Officer of the Company, certify, pursuant to 18 U.S.C. Section 1350, as adopted pursuant to Section 906 of the Sarbanes-Oxley Act of 2002, that to the best of my knowledge:</w:t>
      </w:r>
    </w:p>
    <w:p>
      <w:pPr>
        <w:pStyle w:val="TextBody"/>
        <w:shd w:fill="FFFFFF" w:val="clear"/>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both"/>
              <w:rPr/>
            </w:pPr>
            <w:r>
              <w:rPr/>
              <w:t> </w:t>
            </w:r>
          </w:p>
        </w:tc>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hd w:fill="FFFFFF" w:val="clear"/>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hd w:fill="FFFFFF" w:val="clear"/>
        <w:bidi w:val="0"/>
        <w:jc w:val="left"/>
        <w:rPr>
          <w:caps w:val="false"/>
          <w:smallCaps w:val="false"/>
        </w:rPr>
      </w:pPr>
      <w:r>
        <w:rPr>
          <w:caps w:val="false"/>
          <w:smallCaps w:val="false"/>
        </w:rPr>
        <w:t> </w:t>
      </w:r>
    </w:p>
    <w:tbl>
      <w:tblPr>
        <w:tblW w:w="2560" w:type="dxa"/>
        <w:jc w:val="left"/>
        <w:tblInd w:w="0" w:type="dxa"/>
        <w:shd w:fill="FFFFFF" w:val="clear"/>
        <w:tblLayout w:type="fixed"/>
        <w:tblCellMar>
          <w:top w:w="0" w:type="dxa"/>
          <w:left w:w="0" w:type="dxa"/>
          <w:bottom w:w="0" w:type="dxa"/>
          <w:right w:w="0" w:type="dxa"/>
        </w:tblCellMar>
      </w:tblPr>
      <w:tblGrid>
        <w:gridCol w:w="605"/>
        <w:gridCol w:w="1880"/>
        <w:gridCol w:w="75"/>
      </w:tblGrid>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880" w:type="dxa"/>
            <w:tcBorders/>
            <w:shd w:fill="FFFFFF" w:val="clear"/>
            <w:vAlign w:val="center"/>
          </w:tcPr>
          <w:p>
            <w:pPr>
              <w:pStyle w:val="TableContents"/>
              <w:bidi w:val="0"/>
              <w:spacing w:before="0" w:after="283"/>
              <w:jc w:val="left"/>
              <w:rPr/>
            </w:pPr>
            <w:r>
              <w:rPr/>
              <w:t>April 30, 2026</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 Boon Ping</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 Boon Ping</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pPr>
      <w:bookmarkStart w:id="1048" w:name="ex16-1.htm"/>
      <w:bookmarkStart w:id="1049" w:name="ksex161"/>
      <w:bookmarkEnd w:id="1048"/>
      <w:bookmarkEnd w:id="104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1E1F"/>
          <w:spacing w:val="-2"/>
          <w:sz w:val="20"/>
          <w:u w:val="single"/>
        </w:rPr>
      </w:pPr>
      <w:r>
        <w:rPr>
          <w:rFonts w:ascii="Times New Roman;Times;Serif" w:hAnsi="Times New Roman;Times;Serif"/>
          <w:b/>
          <w:i w:val="false"/>
          <w:caps w:val="false"/>
          <w:smallCaps w:val="false"/>
          <w:color w:val="221E1F"/>
          <w:spacing w:val="-2"/>
          <w:sz w:val="20"/>
          <w:u w:val="single"/>
        </w:rPr>
        <w:t>Purpose</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Insider Trading Policy (the “</w:t>
      </w:r>
      <w:r>
        <w:rPr>
          <w:rFonts w:ascii="Times New Roman;Times;Serif" w:hAnsi="Times New Roman;Times;Serif"/>
          <w:b/>
          <w:i w:val="false"/>
          <w:caps w:val="false"/>
          <w:smallCaps w:val="false"/>
          <w:color w:val="221E1F"/>
          <w:sz w:val="20"/>
        </w:rPr>
        <w:t>Policy</w:t>
      </w:r>
      <w:r>
        <w:rPr>
          <w:rFonts w:ascii="Times New Roman;Times;Serif" w:hAnsi="Times New Roman;Times;Serif"/>
          <w:b w:val="false"/>
          <w:i w:val="false"/>
          <w:caps w:val="false"/>
          <w:smallCaps w:val="false"/>
          <w:color w:val="221E1F"/>
          <w:sz w:val="20"/>
        </w:rPr>
        <w:t>”) provides guidelines with respect to transactions in the securities of Ten-League International Holdings Limited (the “</w:t>
      </w:r>
      <w:r>
        <w:rPr>
          <w:rFonts w:ascii="Times New Roman;Times;Serif" w:hAnsi="Times New Roman;Times;Serif"/>
          <w:b/>
          <w:i w:val="false"/>
          <w:caps w:val="false"/>
          <w:smallCaps w:val="false"/>
          <w:color w:val="221E1F"/>
          <w:sz w:val="20"/>
        </w:rPr>
        <w:t>Company</w:t>
      </w:r>
      <w:r>
        <w:rPr>
          <w:rFonts w:ascii="Times New Roman;Times;Serif" w:hAnsi="Times New Roman;Times;Serif"/>
          <w:b w:val="false"/>
          <w:i w:val="false"/>
          <w:caps w:val="false"/>
          <w:smallCaps w:val="false"/>
          <w:color w:val="221E1F"/>
          <w:sz w:val="20"/>
        </w:rPr>
        <w:t xml:space="preserve">”) and the handling of confidential information about the Company and the companies with which the Company does business. The Company’s Board of Directors has adopted this Policy to promote compliance with United States federal, state, and foreign securities laws that prohibit certain persons who are aware of material non-public information about a company from: (i) trading in securities of that company; </w:t>
      </w:r>
      <w:r>
        <w:rPr>
          <w:rFonts w:ascii="Times New Roman;Times;Serif" w:hAnsi="Times New Roman;Times;Serif"/>
          <w:b w:val="false"/>
          <w:i w:val="false"/>
          <w:caps w:val="false"/>
          <w:smallCaps w:val="false"/>
          <w:color w:val="221E1F"/>
          <w:spacing w:val="-5"/>
          <w:sz w:val="20"/>
        </w:rPr>
        <w:t xml:space="preserve">or (ii) providing material non-public information to other persons who may trade on the basis of that </w:t>
      </w:r>
      <w:r>
        <w:rPr>
          <w:rFonts w:ascii="Times New Roman;Times;Serif" w:hAnsi="Times New Roman;Times;Serif"/>
          <w:b w:val="false"/>
          <w:i w:val="false"/>
          <w:caps w:val="false"/>
          <w:smallCaps w:val="false"/>
          <w:color w:val="221E1F"/>
          <w:spacing w:val="-2"/>
          <w:sz w:val="20"/>
        </w:rPr>
        <w:t>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Persons Subject to the </w:t>
      </w:r>
      <w:r>
        <w:rPr>
          <w:rFonts w:ascii="Times New Roman;Times;Serif" w:hAnsi="Times New Roman;Times;Serif"/>
          <w:b/>
          <w:i w:val="false"/>
          <w:caps w:val="false"/>
          <w:smallCaps w:val="false"/>
          <w:color w:val="221E1F"/>
          <w:spacing w:val="-2"/>
          <w:sz w:val="20"/>
          <w:u w:val="single"/>
        </w:rPr>
        <w:t>Policy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Transactions Subject to the </w:t>
      </w:r>
      <w:r>
        <w:rPr>
          <w:rFonts w:ascii="Times New Roman;Times;Serif" w:hAnsi="Times New Roman;Times;Serif"/>
          <w:b/>
          <w:i w:val="false"/>
          <w:caps w:val="false"/>
          <w:smallCaps w:val="false"/>
          <w:color w:val="221E1F"/>
          <w:spacing w:val="-2"/>
          <w:sz w:val="20"/>
          <w:u w:val="single"/>
        </w:rPr>
        <w:t>Policy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Policy applies to transactions in the Company’s securities (collectively referred to in this Policy as “</w:t>
      </w:r>
      <w:r>
        <w:rPr>
          <w:rFonts w:ascii="Times New Roman;Times;Serif" w:hAnsi="Times New Roman;Times;Serif"/>
          <w:b/>
          <w:i w:val="false"/>
          <w:caps w:val="false"/>
          <w:smallCaps w:val="false"/>
          <w:color w:val="221E1F"/>
          <w:sz w:val="20"/>
        </w:rPr>
        <w:t>Company Securities</w:t>
      </w:r>
      <w:r>
        <w:rPr>
          <w:rFonts w:ascii="Times New Roman;Times;Serif" w:hAnsi="Times New Roman;Times;Serif"/>
          <w:b w:val="false"/>
          <w:i w:val="false"/>
          <w:caps w:val="false"/>
          <w:smallCaps w:val="false"/>
          <w:color w:val="221E1F"/>
          <w:sz w:val="20"/>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Individual </w:t>
      </w:r>
      <w:r>
        <w:rPr>
          <w:rFonts w:ascii="Times New Roman;Times;Serif" w:hAnsi="Times New Roman;Times;Serif"/>
          <w:b/>
          <w:i w:val="false"/>
          <w:caps w:val="false"/>
          <w:smallCaps w:val="false"/>
          <w:color w:val="221E1F"/>
          <w:spacing w:val="-2"/>
          <w:sz w:val="20"/>
          <w:u w:val="single"/>
        </w:rPr>
        <w:t>Responsibility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 xml:space="preserve">Persons subject to this Policy have ethical and legal obligations to maintain the confidentiality of information about the Company and to not engage in transactions in Company Securities while in possession of material non-public information. Each </w:t>
      </w:r>
      <w:r>
        <w:rPr>
          <w:rFonts w:ascii="Times New Roman;Times;Serif" w:hAnsi="Times New Roman;Times;Serif"/>
          <w:b w:val="false"/>
          <w:i w:val="false"/>
          <w:caps w:val="false"/>
          <w:smallCaps w:val="false"/>
          <w:color w:val="221E1F"/>
          <w:spacing w:val="16"/>
          <w:sz w:val="20"/>
        </w:rPr>
        <w:t>individual</w:t>
      </w:r>
      <w:r>
        <w:rPr>
          <w:rFonts w:ascii="Times New Roman;Times;Serif" w:hAnsi="Times New Roman;Times;Serif"/>
          <w:b w:val="false"/>
          <w:i w:val="false"/>
          <w:caps w:val="false"/>
          <w:smallCaps w:val="false"/>
          <w:color w:val="221E1F"/>
          <w:sz w:val="20"/>
        </w:rPr>
        <w:t xml:space="preserve">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0" w:after="0"/>
        <w:ind w:left="0" w:right="0" w:hanging="0"/>
        <w:jc w:val="both"/>
        <w:rPr>
          <w:caps w:val="false"/>
          <w:smallCaps w:val="false"/>
          <w:color w:val="221E1F"/>
        </w:rPr>
      </w:pPr>
      <w:r>
        <w:rPr>
          <w:caps w:val="false"/>
          <w:smallCaps w:val="false"/>
          <w:color w:val="221E1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Administration of the </w:t>
      </w:r>
      <w:r>
        <w:rPr>
          <w:rFonts w:ascii="Times New Roman;Times;Serif" w:hAnsi="Times New Roman;Times;Serif"/>
          <w:b/>
          <w:i w:val="false"/>
          <w:caps w:val="false"/>
          <w:smallCaps w:val="false"/>
          <w:color w:val="221E1F"/>
          <w:spacing w:val="-2"/>
          <w:sz w:val="20"/>
          <w:u w:val="single"/>
        </w:rPr>
        <w:t>Policy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 xml:space="preserve">Lim Boon Ping shall serve as the Compliance Officer for the purposes of this Policy and he shall be assisted by Henry F. Schlueter, Counsel to the Company (collectively “the </w:t>
      </w:r>
      <w:r>
        <w:rPr>
          <w:rFonts w:ascii="Times New Roman;Times;Serif" w:hAnsi="Times New Roman;Times;Serif"/>
          <w:b/>
          <w:i w:val="false"/>
          <w:caps w:val="false"/>
          <w:smallCaps w:val="false"/>
          <w:color w:val="221E1F"/>
          <w:sz w:val="20"/>
        </w:rPr>
        <w:t>Compliance Officer</w:t>
      </w:r>
      <w:r>
        <w:rPr>
          <w:rFonts w:ascii="Times New Roman;Times;Serif" w:hAnsi="Times New Roman;Times;Serif"/>
          <w:b w:val="false"/>
          <w:i w:val="false"/>
          <w:caps w:val="false"/>
          <w:smallCaps w:val="false"/>
          <w:color w:val="221E1F"/>
          <w:sz w:val="20"/>
        </w:rPr>
        <w:t xml:space="preserve">”). All determinations and interpretations by the Compliance Officer shall be final and not subject to further </w:t>
      </w:r>
      <w:r>
        <w:rPr>
          <w:rFonts w:ascii="Times New Roman;Times;Serif" w:hAnsi="Times New Roman;Times;Serif"/>
          <w:b w:val="false"/>
          <w:i w:val="false"/>
          <w:caps w:val="false"/>
          <w:smallCaps w:val="false"/>
          <w:color w:val="221E1F"/>
          <w:spacing w:val="-2"/>
          <w:sz w:val="20"/>
        </w:rPr>
        <w:t>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Statement of </w:t>
      </w:r>
      <w:r>
        <w:rPr>
          <w:rFonts w:ascii="Times New Roman;Times;Serif" w:hAnsi="Times New Roman;Times;Serif"/>
          <w:b/>
          <w:i w:val="false"/>
          <w:caps w:val="false"/>
          <w:smallCaps w:val="false"/>
          <w:color w:val="221E1F"/>
          <w:spacing w:val="-2"/>
          <w:sz w:val="20"/>
          <w:u w:val="single"/>
        </w:rPr>
        <w:t>Policy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pStyle w:val="TextBody"/>
        <w:bidi w:val="0"/>
        <w:spacing w:before="0" w:after="0"/>
        <w:ind w:left="0" w:right="0" w:hanging="281"/>
        <w:jc w:val="both"/>
        <w:rPr>
          <w:caps w:val="false"/>
          <w:smallCaps w:val="false"/>
          <w:color w:val="221E1F"/>
        </w:rPr>
      </w:pPr>
      <w:r>
        <w:rPr>
          <w:caps w:val="false"/>
          <w:smallCaps w:val="false"/>
          <w:color w:val="221E1F"/>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in transactions in Company Securities, except as otherwise specified in this Policy under the headings “Transactions Under Company Plans,” “Transactions Not Involving a Purchase or Sale” and “Rule 10b5-1 Plans;”</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Recommend the purchase or sale of any Company </w:t>
            </w:r>
            <w:r>
              <w:rPr>
                <w:rFonts w:ascii="Times New Roman;Times;Serif" w:hAnsi="Times New Roman;Times;Serif"/>
                <w:spacing w:val="-2"/>
                <w:sz w:val="20"/>
              </w:rPr>
              <w:t>Securities;</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Assist anyone engaged in the above </w:t>
            </w:r>
            <w:r>
              <w:rPr>
                <w:rFonts w:ascii="Times New Roman;Times;Serif" w:hAnsi="Times New Roman;Times;Serif"/>
                <w:spacing w:val="-2"/>
                <w:sz w:val="20"/>
              </w:rPr>
              <w:t>activities.</w:t>
            </w:r>
          </w:p>
        </w:tc>
      </w:tr>
    </w:tbl>
    <w:p>
      <w:pPr>
        <w:pStyle w:val="TextBody"/>
        <w:bidi w:val="0"/>
        <w:spacing w:before="0" w:after="0"/>
        <w:jc w:val="center"/>
        <w:rPr>
          <w:caps w:val="false"/>
          <w:smallCaps w:val="false"/>
          <w:color w:val="221E1F"/>
          <w:spacing w:val="-2"/>
        </w:rPr>
      </w:pPr>
      <w:r>
        <w:rPr>
          <w:caps w:val="false"/>
          <w:smallCaps w:val="false"/>
          <w:color w:val="221E1F"/>
          <w:spacing w:val="-2"/>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Definition of Material Non-public </w:t>
      </w:r>
      <w:r>
        <w:rPr>
          <w:rFonts w:ascii="Times New Roman;Times;Serif" w:hAnsi="Times New Roman;Times;Serif"/>
          <w:b/>
          <w:i w:val="false"/>
          <w:caps w:val="false"/>
          <w:smallCaps w:val="false"/>
          <w:color w:val="221E1F"/>
          <w:spacing w:val="-2"/>
          <w:sz w:val="20"/>
          <w:u w:val="single"/>
        </w:rPr>
        <w:t>Information</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u w:val="single"/>
        </w:rPr>
        <w:t>Material Information.</w:t>
      </w:r>
      <w:r>
        <w:rPr>
          <w:rFonts w:ascii="Times New Roman;Times;Serif" w:hAnsi="Times New Roman;Times;Serif"/>
          <w:b w:val="false"/>
          <w:i w:val="false"/>
          <w:caps w:val="false"/>
          <w:smallCaps w:val="false"/>
          <w:color w:val="221E1F"/>
          <w:sz w:val="20"/>
        </w:rPr>
        <w:t xml:space="preserve">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before="0" w:after="0"/>
        <w:jc w:val="center"/>
        <w:rPr>
          <w:caps w:val="false"/>
          <w:smallCaps w:val="false"/>
          <w:color w:val="221E1F"/>
        </w:rPr>
      </w:pPr>
      <w:r>
        <w:rPr>
          <w:caps w:val="false"/>
          <w:smallCaps w:val="false"/>
          <w:color w:val="221E1F"/>
        </w:rPr>
        <w:t> </w:t>
      </w:r>
    </w:p>
    <w:tbl>
      <w:tblPr>
        <w:tblW w:w="5696" w:type="dxa"/>
        <w:jc w:val="left"/>
        <w:tblInd w:w="0" w:type="dxa"/>
        <w:tblLayout w:type="fixed"/>
        <w:tblCellMar>
          <w:top w:w="0" w:type="dxa"/>
          <w:left w:w="0" w:type="dxa"/>
          <w:bottom w:w="0" w:type="dxa"/>
          <w:right w:w="0" w:type="dxa"/>
        </w:tblCellMar>
      </w:tblPr>
      <w:tblGrid>
        <w:gridCol w:w="75"/>
        <w:gridCol w:w="170"/>
        <w:gridCol w:w="545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Projections of future earnings or losses, or other earnings </w:t>
            </w:r>
            <w:r>
              <w:rPr>
                <w:rFonts w:ascii="Times New Roman;Times;Serif" w:hAnsi="Times New Roman;Times;Serif"/>
                <w:spacing w:val="-2"/>
                <w:sz w:val="20"/>
              </w:rPr>
              <w:t>guidance;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66" w:type="dxa"/>
        <w:jc w:val="left"/>
        <w:tblInd w:w="0" w:type="dxa"/>
        <w:tblLayout w:type="fixed"/>
        <w:tblCellMar>
          <w:top w:w="0" w:type="dxa"/>
          <w:left w:w="0" w:type="dxa"/>
          <w:bottom w:w="0" w:type="dxa"/>
          <w:right w:w="0" w:type="dxa"/>
        </w:tblCellMar>
      </w:tblPr>
      <w:tblGrid>
        <w:gridCol w:w="75"/>
        <w:gridCol w:w="170"/>
        <w:gridCol w:w="812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Changes to previously announced earnings guidance, or the decision to suspend earnings </w:t>
            </w:r>
            <w:r>
              <w:rPr>
                <w:rFonts w:ascii="Times New Roman;Times;Serif" w:hAnsi="Times New Roman;Times;Serif"/>
                <w:spacing w:val="-2"/>
                <w:sz w:val="20"/>
              </w:rPr>
              <w:t>guidance;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pending or proposed merger, acquisition, or tender </w:t>
            </w:r>
            <w:r>
              <w:rPr>
                <w:rFonts w:ascii="Times New Roman;Times;Serif" w:hAnsi="Times New Roman;Times;Serif"/>
                <w:spacing w:val="-2"/>
                <w:sz w:val="20"/>
              </w:rPr>
              <w:t>offer;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pending or proposed acquisition or disposition of a significant </w:t>
            </w:r>
            <w:r>
              <w:rPr>
                <w:rFonts w:ascii="Times New Roman;Times;Serif" w:hAnsi="Times New Roman;Times;Serif"/>
                <w:spacing w:val="-2"/>
                <w:sz w:val="20"/>
              </w:rPr>
              <w:t>asset;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pending or proposed joint </w:t>
            </w:r>
            <w:r>
              <w:rPr>
                <w:rFonts w:ascii="Times New Roman;Times;Serif" w:hAnsi="Times New Roman;Times;Serif"/>
                <w:spacing w:val="-2"/>
                <w:sz w:val="20"/>
              </w:rPr>
              <w:t>venture;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Company </w:t>
            </w:r>
            <w:r>
              <w:rPr>
                <w:rFonts w:ascii="Times New Roman;Times;Serif" w:hAnsi="Times New Roman;Times;Serif"/>
                <w:spacing w:val="-2"/>
                <w:sz w:val="20"/>
              </w:rPr>
              <w:t>restructuring;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Significant related party </w:t>
            </w:r>
            <w:r>
              <w:rPr>
                <w:rFonts w:ascii="Times New Roman;Times;Serif" w:hAnsi="Times New Roman;Times;Serif"/>
                <w:spacing w:val="-2"/>
                <w:sz w:val="20"/>
              </w:rPr>
              <w:t>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dividend policy, the declaration of a stock split, or an offering of additional </w:t>
            </w:r>
            <w:r>
              <w:rPr>
                <w:rFonts w:ascii="Times New Roman;Times;Serif" w:hAnsi="Times New Roman;Times;Serif"/>
                <w:spacing w:val="-2"/>
                <w:sz w:val="20"/>
              </w:rPr>
              <w:t>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Bank borrowings or other financing transactions out of the ordinary </w:t>
            </w:r>
            <w:r>
              <w:rPr>
                <w:rFonts w:ascii="Times New Roman;Times;Serif" w:hAnsi="Times New Roman;Times;Serif"/>
                <w:spacing w:val="-2"/>
                <w:sz w:val="20"/>
              </w:rPr>
              <w:t>course;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establishment of a repurchase program for Company </w:t>
            </w:r>
            <w:r>
              <w:rPr>
                <w:rFonts w:ascii="Times New Roman;Times;Serif" w:hAnsi="Times New Roman;Times;Serif"/>
                <w:spacing w:val="-2"/>
                <w:sz w:val="20"/>
              </w:rPr>
              <w:t>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the Company’s pricing or cost </w:t>
            </w:r>
            <w:r>
              <w:rPr>
                <w:rFonts w:ascii="Times New Roman;Times;Serif" w:hAnsi="Times New Roman;Times;Serif"/>
                <w:spacing w:val="-2"/>
                <w:sz w:val="20"/>
              </w:rPr>
              <w:t>structure;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Major marketing </w:t>
            </w:r>
            <w:r>
              <w:rPr>
                <w:rFonts w:ascii="Times New Roman;Times;Serif" w:hAnsi="Times New Roman;Times;Serif"/>
                <w:spacing w:val="-2"/>
                <w:sz w:val="20"/>
              </w:rPr>
              <w:t>changes;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w:t>
            </w:r>
            <w:r>
              <w:rPr>
                <w:rFonts w:ascii="Times New Roman;Times;Serif" w:hAnsi="Times New Roman;Times;Serif"/>
                <w:spacing w:val="-2"/>
                <w:sz w:val="20"/>
              </w:rPr>
              <w:t>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auditors or notification that the auditor’s reports may no longer be relied </w:t>
            </w:r>
            <w:r>
              <w:rPr>
                <w:rFonts w:ascii="Times New Roman;Times;Serif" w:hAnsi="Times New Roman;Times;Serif"/>
                <w:spacing w:val="-2"/>
                <w:sz w:val="20"/>
              </w:rPr>
              <w:t>upon;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Development of a significant new product, process, or </w:t>
            </w:r>
            <w:r>
              <w:rPr>
                <w:rFonts w:ascii="Times New Roman;Times;Serif" w:hAnsi="Times New Roman;Times;Serif"/>
                <w:spacing w:val="-2"/>
                <w:sz w:val="20"/>
              </w:rPr>
              <w:t>service;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Pending or threatened significant litigation, or the resolution of such </w:t>
            </w:r>
            <w:r>
              <w:rPr>
                <w:rFonts w:ascii="Times New Roman;Times;Serif" w:hAnsi="Times New Roman;Times;Serif"/>
                <w:spacing w:val="-2"/>
                <w:sz w:val="20"/>
              </w:rPr>
              <w:t>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Impending bankruptcy or the existence of severe liquidity </w:t>
            </w:r>
            <w:r>
              <w:rPr>
                <w:rFonts w:ascii="Times New Roman;Times;Serif" w:hAnsi="Times New Roman;Times;Serif"/>
                <w:spacing w:val="-2"/>
                <w:sz w:val="20"/>
              </w:rPr>
              <w:t>problems;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gain or loss of a significant customer or </w:t>
            </w:r>
            <w:r>
              <w:rPr>
                <w:rFonts w:ascii="Times New Roman;Times;Serif" w:hAnsi="Times New Roman;Times;Serif"/>
                <w:spacing w:val="-2"/>
                <w:sz w:val="20"/>
              </w:rPr>
              <w:t>supplier;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imposition of a ban on trading in Company Securities or the securities of another </w:t>
            </w:r>
            <w:r>
              <w:rPr>
                <w:rFonts w:ascii="Times New Roman;Times;Serif" w:hAnsi="Times New Roman;Times;Serif"/>
                <w:spacing w:val="-2"/>
                <w:sz w:val="20"/>
              </w:rPr>
              <w:t>company.</w:t>
            </w:r>
          </w:p>
        </w:tc>
      </w:tr>
    </w:tbl>
    <w:p>
      <w:pPr>
        <w:pStyle w:val="TextBody"/>
        <w:bidi w:val="0"/>
        <w:spacing w:before="0" w:after="0"/>
        <w:ind w:left="0" w:right="0" w:hanging="28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u w:val="single"/>
        </w:rPr>
        <w:t xml:space="preserve">When Information is Considered Public. </w:t>
      </w:r>
      <w:r>
        <w:rPr>
          <w:rFonts w:ascii="Times New Roman;Times;Serif" w:hAnsi="Times New Roman;Times;Serif"/>
          <w:b w:val="false"/>
          <w:i w:val="false"/>
          <w:caps w:val="false"/>
          <w:smallCaps w:val="false"/>
          <w:color w:val="221E1F"/>
          <w:sz w:val="20"/>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w:t>
      </w:r>
      <w:r>
        <w:rPr>
          <w:rFonts w:ascii="Times New Roman;Times;Serif" w:hAnsi="Times New Roman;Times;Serif"/>
          <w:b w:val="false"/>
          <w:i/>
          <w:caps w:val="false"/>
          <w:smallCaps w:val="false"/>
          <w:color w:val="221E1F"/>
          <w:sz w:val="20"/>
        </w:rPr>
        <w:t>Please note that</w:t>
      </w:r>
      <w:r>
        <w:rPr>
          <w:rFonts w:ascii="Times New Roman;Times;Serif" w:hAnsi="Times New Roman;Times;Serif"/>
          <w:b w:val="false"/>
          <w:i w:val="false"/>
          <w:caps w:val="false"/>
          <w:smallCaps w:val="false"/>
          <w:color w:val="221E1F"/>
          <w:sz w:val="20"/>
        </w:rPr>
        <w:t xml:space="preserve"> A company may be able to conclude that, based on the SEC’s guidance in Rel. No. 34-58288 (August 1, 2008), disclosure on the company’s website is sufficient to make the information public. By contrast, information would likely not be considered widely disseminated if it is available only to the Company’s employees, or if it is only available to a select group of analysts, brokers, and institutional investors.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Transactions by Family Members and </w:t>
      </w:r>
      <w:r>
        <w:rPr>
          <w:rFonts w:ascii="Times New Roman;Times;Serif" w:hAnsi="Times New Roman;Times;Serif"/>
          <w:b/>
          <w:i w:val="false"/>
          <w:caps w:val="false"/>
          <w:smallCaps w:val="false"/>
          <w:color w:val="221E1F"/>
          <w:spacing w:val="-2"/>
          <w:sz w:val="20"/>
          <w:u w:val="single"/>
        </w:rPr>
        <w:t>Others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Times;Serif" w:hAnsi="Times New Roman;Times;Serif"/>
          <w:b/>
          <w:i w:val="false"/>
          <w:caps w:val="false"/>
          <w:smallCaps w:val="false"/>
          <w:color w:val="221E1F"/>
          <w:sz w:val="20"/>
        </w:rPr>
        <w:t>Family Members</w:t>
      </w:r>
      <w:r>
        <w:rPr>
          <w:rFonts w:ascii="Times New Roman;Times;Serif" w:hAnsi="Times New Roman;Times;Serif"/>
          <w:b w:val="false"/>
          <w:i w:val="false"/>
          <w:caps w:val="false"/>
          <w:smallCaps w:val="false"/>
          <w:color w:val="221E1F"/>
          <w:sz w:val="20"/>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Transactions by Entities that You Influence or </w:t>
      </w:r>
      <w:r>
        <w:rPr>
          <w:rFonts w:ascii="Times New Roman;Times;Serif" w:hAnsi="Times New Roman;Times;Serif"/>
          <w:b/>
          <w:i w:val="false"/>
          <w:caps w:val="false"/>
          <w:smallCaps w:val="false"/>
          <w:color w:val="221E1F"/>
          <w:spacing w:val="-2"/>
          <w:sz w:val="20"/>
          <w:u w:val="single"/>
        </w:rPr>
        <w:t>Control</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Transactions Under Company </w:t>
      </w:r>
      <w:r>
        <w:rPr>
          <w:rFonts w:ascii="Times New Roman;Times;Serif" w:hAnsi="Times New Roman;Times;Serif"/>
          <w:b/>
          <w:i w:val="false"/>
          <w:caps w:val="false"/>
          <w:smallCaps w:val="false"/>
          <w:color w:val="221E1F"/>
          <w:spacing w:val="-4"/>
          <w:sz w:val="20"/>
          <w:u w:val="single"/>
        </w:rPr>
        <w:t>Plans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 xml:space="preserve">This Policy does not apply in the case of the following transactions, except as specifically </w:t>
      </w:r>
      <w:r>
        <w:rPr>
          <w:rFonts w:ascii="Times New Roman;Times;Serif" w:hAnsi="Times New Roman;Times;Serif"/>
          <w:b w:val="false"/>
          <w:i w:val="false"/>
          <w:caps w:val="false"/>
          <w:smallCaps w:val="false"/>
          <w:color w:val="221E1F"/>
          <w:spacing w:val="-2"/>
          <w:sz w:val="20"/>
        </w:rPr>
        <w:t>noted:</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Stock Option Exercises. </w:t>
      </w:r>
      <w:r>
        <w:rPr>
          <w:rFonts w:ascii="Times New Roman;Times;Serif" w:hAnsi="Times New Roman;Times;Serif"/>
          <w:b w:val="false"/>
          <w:i w:val="false"/>
          <w:caps w:val="false"/>
          <w:smallCaps w:val="false"/>
          <w:color w:val="221E1F"/>
          <w:sz w:val="20"/>
        </w:rPr>
        <w:t>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Restricted Stock Awards. </w:t>
      </w:r>
      <w:r>
        <w:rPr>
          <w:rFonts w:ascii="Times New Roman;Times;Serif" w:hAnsi="Times New Roman;Times;Serif"/>
          <w:b w:val="false"/>
          <w:i w:val="false"/>
          <w:caps w:val="false"/>
          <w:smallCaps w:val="false"/>
          <w:color w:val="221E1F"/>
          <w:sz w:val="20"/>
        </w:rPr>
        <w:t>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Other Similar Transactions. </w:t>
      </w:r>
      <w:r>
        <w:rPr>
          <w:rFonts w:ascii="Times New Roman;Times;Serif" w:hAnsi="Times New Roman;Times;Serif"/>
          <w:b w:val="false"/>
          <w:i w:val="false"/>
          <w:caps w:val="false"/>
          <w:smallCaps w:val="false"/>
          <w:color w:val="221E1F"/>
          <w:sz w:val="20"/>
        </w:rPr>
        <w:t>Any other purchase of Company Securities from the Company or sales of Company Securities to the Company are not subject to this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Transactions Not Involving a Purchase or </w:t>
      </w:r>
      <w:r>
        <w:rPr>
          <w:rFonts w:ascii="Times New Roman;Times;Serif" w:hAnsi="Times New Roman;Times;Serif"/>
          <w:b/>
          <w:i w:val="false"/>
          <w:caps w:val="false"/>
          <w:smallCaps w:val="false"/>
          <w:color w:val="221E1F"/>
          <w:spacing w:val="-4"/>
          <w:sz w:val="20"/>
          <w:u w:val="single"/>
        </w:rPr>
        <w:t>Sale</w:t>
      </w:r>
    </w:p>
    <w:p>
      <w:pPr>
        <w:pStyle w:val="TextBody"/>
        <w:bidi w:val="0"/>
        <w:spacing w:before="0" w:after="0"/>
        <w:ind w:left="0" w:right="0" w:hanging="3"/>
        <w:jc w:val="both"/>
        <w:rPr>
          <w:caps w:val="false"/>
          <w:smallCaps w:val="false"/>
          <w:color w:val="221E1F"/>
        </w:rPr>
      </w:pPr>
      <w:r>
        <w:rPr>
          <w:caps w:val="false"/>
          <w:smallCaps w:val="false"/>
          <w:color w:val="221E1F"/>
        </w:rPr>
        <w:t> </w:t>
      </w:r>
    </w:p>
    <w:p>
      <w:pPr>
        <w:pStyle w:val="TextBody"/>
        <w:bidi w:val="0"/>
        <w:spacing w:before="0" w:after="0"/>
        <w:ind w:left="0" w:right="0" w:hanging="3"/>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rPr>
        <w:t>Bona fide</w:t>
      </w:r>
      <w:r>
        <w:rPr>
          <w:rFonts w:ascii="Times New Roman;Times;Serif" w:hAnsi="Times New Roman;Times;Serif"/>
          <w:b w:val="false"/>
          <w:i w:val="false"/>
          <w:caps w:val="false"/>
          <w:smallCaps w:val="false"/>
          <w:color w:val="221E1F"/>
          <w:sz w:val="20"/>
        </w:rPr>
        <w:t xml:space="preserve"> gifts of securities are not transactions subject to this Policy; however, </w:t>
      </w:r>
      <w:r>
        <w:rPr>
          <w:rFonts w:ascii="Times New Roman;Times;Serif" w:hAnsi="Times New Roman;Times;Serif"/>
          <w:b w:val="false"/>
          <w:i/>
          <w:caps w:val="false"/>
          <w:smallCaps w:val="false"/>
          <w:color w:val="221E1F"/>
          <w:sz w:val="20"/>
        </w:rPr>
        <w:t>Bona fide</w:t>
      </w:r>
      <w:r>
        <w:rPr>
          <w:rFonts w:ascii="Times New Roman;Times;Serif" w:hAnsi="Times New Roman;Times;Serif"/>
          <w:b w:val="false"/>
          <w:i w:val="false"/>
          <w:caps w:val="false"/>
          <w:smallCaps w:val="false"/>
          <w:color w:val="221E1F"/>
          <w:sz w:val="20"/>
        </w:rPr>
        <w:t xml:space="preserve"> gifts are not transactions subject to this Policy, unless the person making the gift has reason to believe that the recipient intends to sell the Company Securities while the officer, employee or director is aware of material non-public information, or the person making the gift is subject to the trading restrictions specified below under the heading “Additional Procedures” and the sales by the recipient of the Company Securities occur during a blackout period. Further, transactions in mutual funds that are invested in Company Securities are not transactions subject to this Policy.</w:t>
      </w:r>
    </w:p>
    <w:p>
      <w:pPr>
        <w:pStyle w:val="TextBody"/>
        <w:bidi w:val="0"/>
        <w:spacing w:before="0" w:after="0"/>
        <w:ind w:left="0" w:right="0" w:hanging="3"/>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Special and Prohibited </w:t>
      </w:r>
      <w:r>
        <w:rPr>
          <w:rFonts w:ascii="Times New Roman;Times;Serif" w:hAnsi="Times New Roman;Times;Serif"/>
          <w:b/>
          <w:i w:val="false"/>
          <w:caps w:val="false"/>
          <w:smallCaps w:val="false"/>
          <w:color w:val="221E1F"/>
          <w:spacing w:val="-2"/>
          <w:sz w:val="20"/>
          <w:u w:val="single"/>
        </w:rPr>
        <w:t>Transactions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spacing w:before="0" w:after="0"/>
        <w:ind w:left="0" w:right="0" w:firstLine="357"/>
        <w:jc w:val="both"/>
        <w:rPr>
          <w:caps w:val="false"/>
          <w:smallCaps w:val="false"/>
          <w:color w:val="221E1F"/>
        </w:rPr>
      </w:pPr>
      <w:r>
        <w:rPr>
          <w:caps w:val="false"/>
          <w:smallCaps w:val="false"/>
          <w:color w:val="221E1F"/>
        </w:rPr>
        <w:t> </w:t>
      </w:r>
    </w:p>
    <w:p>
      <w:pPr>
        <w:pStyle w:val="TextBody"/>
        <w:bidi w:val="0"/>
        <w:spacing w:before="0" w:after="0"/>
        <w:ind w:left="0" w:right="0" w:firstLine="357"/>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Short-Term Trading. </w:t>
      </w:r>
      <w:r>
        <w:rPr>
          <w:rFonts w:ascii="Times New Roman;Times;Serif" w:hAnsi="Times New Roman;Times;Serif"/>
          <w:b w:val="false"/>
          <w:i w:val="false"/>
          <w:caps w:val="false"/>
          <w:smallCaps w:val="false"/>
          <w:color w:val="221E1F"/>
          <w:sz w:val="20"/>
        </w:rPr>
        <w:t>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Short Sales.</w:t>
      </w:r>
      <w:r>
        <w:rPr>
          <w:rFonts w:ascii="Times New Roman;Times;Serif" w:hAnsi="Times New Roman;Times;Serif"/>
          <w:b w:val="false"/>
          <w:i w:val="false"/>
          <w:caps w:val="false"/>
          <w:smallCaps w:val="false"/>
          <w:color w:val="221E1F"/>
          <w:sz w:val="20"/>
        </w:rPr>
        <w:t xml:space="preserve"> Short sales of Company Securities (</w:t>
      </w:r>
      <w:r>
        <w:rPr>
          <w:rFonts w:ascii="Times New Roman;Times;Serif" w:hAnsi="Times New Roman;Times;Serif"/>
          <w:b w:val="false"/>
          <w:i/>
          <w:caps w:val="false"/>
          <w:smallCaps w:val="false"/>
          <w:color w:val="221E1F"/>
          <w:sz w:val="20"/>
        </w:rPr>
        <w:t>i.e.,</w:t>
      </w:r>
      <w:r>
        <w:rPr>
          <w:rFonts w:ascii="Times New Roman;Times;Serif" w:hAnsi="Times New Roman;Times;Serif"/>
          <w:b w:val="false"/>
          <w:i w:val="false"/>
          <w:caps w:val="false"/>
          <w:smallCaps w:val="false"/>
          <w:color w:val="221E1F"/>
          <w:sz w:val="20"/>
        </w:rPr>
        <w:t xml:space="preserv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(Short sales arising from certain types of hedging transactions are governed by the paragraph below captioned “Hedging Transactions.”)</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Publicly-Traded Options. </w:t>
      </w:r>
      <w:r>
        <w:rPr>
          <w:rFonts w:ascii="Times New Roman;Times;Serif" w:hAnsi="Times New Roman;Times;Serif"/>
          <w:b w:val="false"/>
          <w:i w:val="false"/>
          <w:caps w:val="false"/>
          <w:smallCaps w:val="false"/>
          <w:color w:val="221E1F"/>
          <w:sz w:val="20"/>
        </w:rPr>
        <w:t>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Hedging Transactions. </w:t>
      </w:r>
      <w:r>
        <w:rPr>
          <w:rFonts w:ascii="Times New Roman;Times;Serif" w:hAnsi="Times New Roman;Times;Serif"/>
          <w:b w:val="false"/>
          <w:i w:val="false"/>
          <w:caps w:val="false"/>
          <w:smallCaps w:val="false"/>
          <w:color w:val="221E1F"/>
          <w:sz w:val="20"/>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strongly discourages you from engaging in such transactions. Any person wishing to enter into such an arrangement must first submit the proposed transaction for approval by the Compliance Officer. Any request for pre-clearance of a hedging or similar arrangement must be submitted to the Compliance Officer at least two weeks prior to the proposed execution of documents evidencing the proposed transaction and must set forth a justification for the proposed transaction.</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Margin Accounts and Pledged Securities. </w:t>
      </w:r>
      <w:r>
        <w:rPr>
          <w:rFonts w:ascii="Times New Roman;Times;Serif" w:hAnsi="Times New Roman;Times;Serif"/>
          <w:b w:val="false"/>
          <w:i w:val="false"/>
          <w:caps w:val="false"/>
          <w:smallCaps w:val="false"/>
          <w:color w:val="221E1F"/>
          <w:sz w:val="20"/>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In addition, the Company strongly discourages you from entering into a loan transaction in which you pledge the Company’s securities as collateral for a loan. Any person wishing to enter into such an arrangement must first submit the proposed loan transaction for approval by the Compliance Officer. Any request for pre-clearance of a loan transaction or similar arrangement must be submitted to the Compliance Officer at least two weeks prior to the proposed execution of documents evidencing the proposed transaction and must set forth a justification for the proposed transaction. The Compliance Officer will not permit the pledge of the Company’s securities unless you can clearly demonstrate the financial capacity to repay the loan without resorting to the pledged securities.</w:t>
      </w:r>
    </w:p>
    <w:p>
      <w:pPr>
        <w:pStyle w:val="TextBody"/>
        <w:bidi w:val="0"/>
        <w:spacing w:before="0" w:after="0"/>
        <w:ind w:left="0" w:right="0" w:firstLine="360"/>
        <w:jc w:val="both"/>
        <w:rPr>
          <w:caps w:val="false"/>
          <w:smallCaps w:val="false"/>
          <w:color w:val="221E1F"/>
        </w:rPr>
      </w:pPr>
      <w:r>
        <w:rPr>
          <w:caps w:val="false"/>
          <w:smallCaps w:val="false"/>
          <w:color w:val="221E1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Standing and Limit Orders. </w:t>
      </w:r>
      <w:r>
        <w:rPr>
          <w:rFonts w:ascii="Times New Roman;Times;Serif" w:hAnsi="Times New Roman;Times;Serif"/>
          <w:b w:val="false"/>
          <w:i w:val="false"/>
          <w:caps w:val="false"/>
          <w:smallCaps w:val="false"/>
          <w:color w:val="221E1F"/>
          <w:sz w:val="20"/>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Additional </w:t>
      </w:r>
      <w:r>
        <w:rPr>
          <w:rFonts w:ascii="Times New Roman;Times;Serif" w:hAnsi="Times New Roman;Times;Serif"/>
          <w:b/>
          <w:i w:val="false"/>
          <w:caps w:val="false"/>
          <w:smallCaps w:val="false"/>
          <w:color w:val="221E1F"/>
          <w:spacing w:val="-2"/>
          <w:sz w:val="20"/>
          <w:u w:val="single"/>
        </w:rPr>
        <w:t>Procedures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Pre-Clearance Procedures.</w:t>
      </w:r>
      <w:r>
        <w:rPr>
          <w:rFonts w:ascii="Times New Roman;Times;Serif" w:hAnsi="Times New Roman;Times;Serif"/>
          <w:b w:val="false"/>
          <w:i w:val="false"/>
          <w:caps w:val="false"/>
          <w:smallCaps w:val="false"/>
          <w:color w:val="221E1F"/>
          <w:sz w:val="20"/>
        </w:rPr>
        <w:t xml:space="preserve"> The persons designated by the Compliance Officer as being subject to these procedures, as well as the Family Members and Controlled Entities of such persons, may not engage in any transaction in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The requestor should also be prepared to comply with SEC Rule 144 and file Form 144, if necessary, at the time of any sale.</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Pre-cleared trades must be effected within five business days of receipt of pre-clearance unless an exception is granted. Transactions not effected within the time limit would be subject to pre-clearance again. Further, within five business days of completing a transaction in the Company’s Securities, The Compliance Officer shall be notified of completion of the transaction.</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 xml:space="preserve">Quarterly Trading Restrictions. </w:t>
      </w:r>
      <w:r>
        <w:rPr>
          <w:rFonts w:ascii="Times New Roman;Times;Serif" w:hAnsi="Times New Roman;Times;Serif"/>
          <w:b w:val="false"/>
          <w:i w:val="false"/>
          <w:caps w:val="false"/>
          <w:smallCaps w:val="false"/>
          <w:color w:val="221E1F"/>
          <w:sz w:val="20"/>
        </w:rPr>
        <w:t>The persons designated by the Compliance Officer as subject to this restriction, as well as their Family Members or Controlled Entities, may not conduct any transactions involving the Company’s Securities (other than as specified by this Policy), during a “</w:t>
      </w:r>
      <w:r>
        <w:rPr>
          <w:rFonts w:ascii="Times New Roman;Times;Serif" w:hAnsi="Times New Roman;Times;Serif"/>
          <w:b/>
          <w:i w:val="false"/>
          <w:caps w:val="false"/>
          <w:smallCaps w:val="false"/>
          <w:color w:val="221E1F"/>
          <w:sz w:val="20"/>
        </w:rPr>
        <w:t>Blackout Period</w:t>
      </w:r>
      <w:r>
        <w:rPr>
          <w:rFonts w:ascii="Times New Roman;Times;Serif" w:hAnsi="Times New Roman;Times;Serif"/>
          <w:b w:val="false"/>
          <w:i w:val="false"/>
          <w:caps w:val="false"/>
          <w:smallCaps w:val="false"/>
          <w:color w:val="221E1F"/>
          <w:sz w:val="20"/>
        </w:rPr>
        <w:t>” beginning 30 days prior to the end of each fiscal quarter and ending on the third business day following the date of the public release of the Company’s earnings results for that quarter. In other words, these persons may only conduct transactions in Company Securities during the “</w:t>
      </w:r>
      <w:r>
        <w:rPr>
          <w:rFonts w:ascii="Times New Roman;Times;Serif" w:hAnsi="Times New Roman;Times;Serif"/>
          <w:b/>
          <w:i w:val="false"/>
          <w:caps w:val="false"/>
          <w:smallCaps w:val="false"/>
          <w:color w:val="221E1F"/>
          <w:sz w:val="20"/>
        </w:rPr>
        <w:t>Window Period</w:t>
      </w:r>
      <w:r>
        <w:rPr>
          <w:rFonts w:ascii="Times New Roman;Times;Serif" w:hAnsi="Times New Roman;Times;Serif"/>
          <w:b w:val="false"/>
          <w:i w:val="false"/>
          <w:caps w:val="false"/>
          <w:smallCaps w:val="false"/>
          <w:color w:val="221E1F"/>
          <w:sz w:val="20"/>
        </w:rPr>
        <w:t xml:space="preserve">” beginning on the third business day following the public release of the Company’s quarterly earnings and ending thirty days prior to the close of the next fiscal </w:t>
      </w:r>
      <w:r>
        <w:rPr>
          <w:rFonts w:ascii="Times New Roman;Times;Serif" w:hAnsi="Times New Roman;Times;Serif"/>
          <w:b w:val="false"/>
          <w:i w:val="false"/>
          <w:caps w:val="false"/>
          <w:smallCaps w:val="false"/>
          <w:color w:val="221E1F"/>
          <w:spacing w:val="-2"/>
          <w:sz w:val="20"/>
        </w:rPr>
        <w:t>quarter.</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 xml:space="preserve">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w:t>
      </w:r>
      <w:r>
        <w:rPr>
          <w:rFonts w:ascii="Times New Roman;Times;Serif" w:hAnsi="Times New Roman;Times;Serif"/>
          <w:b w:val="false"/>
          <w:i w:val="false"/>
          <w:caps w:val="false"/>
          <w:smallCaps w:val="false"/>
          <w:color w:val="221E1F"/>
          <w:spacing w:val="-2"/>
          <w:sz w:val="20"/>
        </w:rPr>
        <w:t xml:space="preserve">Period </w:t>
      </w:r>
      <w:r>
        <w:rPr>
          <w:rFonts w:ascii="Times New Roman;Times;Serif" w:hAnsi="Times New Roman;Times;Serif"/>
          <w:b w:val="false"/>
          <w:i w:val="false"/>
          <w:caps w:val="false"/>
          <w:smallCaps w:val="false"/>
          <w:color w:val="221E1F"/>
          <w:sz w:val="20"/>
        </w:rPr>
        <w:t>must contact the Compliance Officer for approval at least three business days in advance of any proposed transaction involving Company Securities.</w:t>
      </w:r>
    </w:p>
    <w:p>
      <w:pPr>
        <w:pStyle w:val="TextBody"/>
        <w:bidi w:val="0"/>
        <w:spacing w:before="0" w:after="0"/>
        <w:ind w:left="0" w:right="0" w:firstLine="360"/>
        <w:jc w:val="both"/>
        <w:rPr>
          <w:caps w:val="false"/>
          <w:smallCaps w:val="false"/>
          <w:color w:val="221E1F"/>
        </w:rPr>
      </w:pPr>
      <w:r>
        <w:rPr>
          <w:caps w:val="false"/>
          <w:smallCaps w:val="false"/>
          <w:color w:val="221E1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Event-Specific Trading Restriction Periods.</w:t>
      </w:r>
      <w:r>
        <w:rPr>
          <w:rFonts w:ascii="Times New Roman;Times;Serif" w:hAnsi="Times New Roman;Times;Serif"/>
          <w:b w:val="false"/>
          <w:i w:val="false"/>
          <w:caps w:val="false"/>
          <w:smallCaps w:val="false"/>
          <w:color w:val="221E1F"/>
          <w:sz w:val="20"/>
        </w:rPr>
        <w:t xml:space="preserve"> From time to time, an event may occur that is material to the Company and is known by only a few directors, officers 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pStyle w:val="TextBody"/>
        <w:bidi w:val="0"/>
        <w:spacing w:before="0" w:after="0"/>
        <w:ind w:left="0" w:right="0" w:firstLine="360"/>
        <w:jc w:val="both"/>
        <w:rPr>
          <w:caps w:val="false"/>
          <w:smallCaps w:val="false"/>
          <w:color w:val="221E1F"/>
        </w:rPr>
      </w:pPr>
      <w:r>
        <w:rPr>
          <w:caps w:val="false"/>
          <w:smallCaps w:val="false"/>
          <w:color w:val="221E1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caps w:val="false"/>
          <w:smallCaps w:val="false"/>
          <w:color w:val="221E1F"/>
          <w:sz w:val="20"/>
          <w:u w:val="single"/>
        </w:rPr>
        <w:t>Exceptions.</w:t>
      </w:r>
      <w:r>
        <w:rPr>
          <w:rFonts w:ascii="Times New Roman;Times;Serif" w:hAnsi="Times New Roman;Times;Serif"/>
          <w:b w:val="false"/>
          <w:i w:val="false"/>
          <w:caps w:val="false"/>
          <w:smallCaps w:val="false"/>
          <w:color w:val="221E1F"/>
          <w:sz w:val="20"/>
        </w:rPr>
        <w:t xml:space="preserve">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Rule 10b5-1 </w:t>
      </w:r>
      <w:r>
        <w:rPr>
          <w:rFonts w:ascii="Times New Roman;Times;Serif" w:hAnsi="Times New Roman;Times;Serif"/>
          <w:b/>
          <w:i w:val="false"/>
          <w:caps w:val="false"/>
          <w:smallCaps w:val="false"/>
          <w:color w:val="221E1F"/>
          <w:spacing w:val="-4"/>
          <w:sz w:val="20"/>
          <w:u w:val="single"/>
        </w:rPr>
        <w:t>Plans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Rule 10b5-1 under the Exchange Act provides a defense from insider trading liability under Rule 10b-5. In order to be eligible to rely on this defense, a person subject to this Policy must enter i 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may be obtained from the Compliance Officer.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Any Rule 10b5-1 Plan must be submitted for approval at least five business days prior to the entry into the Rule 10b5-1 Plan. No further pre-approval of transactions conducted pursuant to the Rule 10b5-1 Plan will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Post-Termination </w:t>
      </w:r>
      <w:r>
        <w:rPr>
          <w:rFonts w:ascii="Times New Roman;Times;Serif" w:hAnsi="Times New Roman;Times;Serif"/>
          <w:b/>
          <w:i w:val="false"/>
          <w:caps w:val="false"/>
          <w:smallCaps w:val="false"/>
          <w:color w:val="221E1F"/>
          <w:spacing w:val="-2"/>
          <w:sz w:val="20"/>
          <w:u w:val="single"/>
        </w:rPr>
        <w:t>Transactions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pStyle w:val="TextBody"/>
        <w:bidi w:val="0"/>
        <w:spacing w:before="0" w:after="0"/>
        <w:ind w:left="0" w:right="0" w:hanging="0"/>
        <w:jc w:val="both"/>
        <w:rPr>
          <w:caps w:val="false"/>
          <w:smallCaps w:val="false"/>
          <w:color w:val="221E1F"/>
        </w:rPr>
      </w:pPr>
      <w:r>
        <w:rPr>
          <w:caps w:val="false"/>
          <w:smallCaps w:val="false"/>
          <w:color w:val="221E1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Consequences of </w:t>
      </w:r>
      <w:r>
        <w:rPr>
          <w:rFonts w:ascii="Times New Roman;Times;Serif" w:hAnsi="Times New Roman;Times;Serif"/>
          <w:b/>
          <w:i w:val="false"/>
          <w:caps w:val="false"/>
          <w:smallCaps w:val="false"/>
          <w:color w:val="221E1F"/>
          <w:spacing w:val="-2"/>
          <w:sz w:val="20"/>
          <w:u w:val="single"/>
        </w:rPr>
        <w:t>Violations</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21E1F"/>
          <w:sz w:val="20"/>
          <w:u w:val="single"/>
        </w:rPr>
      </w:pPr>
      <w:r>
        <w:rPr>
          <w:rFonts w:ascii="Times New Roman;Times;Serif" w:hAnsi="Times New Roman;Times;Serif"/>
          <w:b/>
          <w:i w:val="false"/>
          <w:caps w:val="false"/>
          <w:smallCaps w:val="false"/>
          <w:color w:val="221E1F"/>
          <w:sz w:val="20"/>
          <w:u w:val="single"/>
        </w:rPr>
        <w:t xml:space="preserve">Company </w:t>
      </w:r>
      <w:r>
        <w:rPr>
          <w:rFonts w:ascii="Times New Roman;Times;Serif" w:hAnsi="Times New Roman;Times;Serif"/>
          <w:b/>
          <w:i w:val="false"/>
          <w:caps w:val="false"/>
          <w:smallCaps w:val="false"/>
          <w:color w:val="221E1F"/>
          <w:spacing w:val="-2"/>
          <w:sz w:val="20"/>
          <w:u w:val="single"/>
        </w:rPr>
        <w:t>Assistance</w:t>
      </w:r>
    </w:p>
    <w:p>
      <w:pPr>
        <w:pStyle w:val="TextBody"/>
        <w:bidi w:val="0"/>
        <w:spacing w:before="0" w:after="0"/>
        <w:ind w:left="0" w:right="0" w:hanging="0"/>
        <w:jc w:val="both"/>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Any person who has a question about this Policy or its application to any proposed transaction may obtain additional guidance from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1E1F"/>
          <w:spacing w:val="-2"/>
          <w:sz w:val="20"/>
          <w:u w:val="single"/>
        </w:rPr>
      </w:pPr>
      <w:r>
        <w:rPr>
          <w:rFonts w:ascii="Times New Roman;Times;Serif" w:hAnsi="Times New Roman;Times;Serif"/>
          <w:b/>
          <w:i w:val="false"/>
          <w:caps w:val="false"/>
          <w:smallCaps w:val="false"/>
          <w:color w:val="221E1F"/>
          <w:spacing w:val="-2"/>
          <w:sz w:val="20"/>
          <w:u w:val="single"/>
        </w:rPr>
        <w:t>Certification</w:t>
      </w:r>
    </w:p>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All persons subject to this Policy must certify their understanding of, and intent to comply with,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21E1F"/>
          <w:spacing w:val="-2"/>
          <w:sz w:val="20"/>
          <w:u w:val="single"/>
        </w:rPr>
      </w:pPr>
      <w:r>
        <w:rPr>
          <w:rFonts w:ascii="Times New Roman;Times;Serif" w:hAnsi="Times New Roman;Times;Serif"/>
          <w:b/>
          <w:i w:val="false"/>
          <w:caps w:val="false"/>
          <w:smallCaps w:val="false"/>
          <w:color w:val="221E1F"/>
          <w:spacing w:val="-2"/>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read and understand the Company’s Insider Trading Policy (the “Policy”). I understand that the Compliance Officer is available to answer any questions I have regarding the Policy.</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the date that the Policy became effective, or such shorter period of time as I have been an employee of the company, I have complied with the Policy.</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will continue to comply with the Policy for as long as I am subject to the </w:t>
            </w:r>
            <w:r>
              <w:rPr>
                <w:rFonts w:ascii="Times New Roman;Times;Serif" w:hAnsi="Times New Roman;Times;Serif"/>
                <w:spacing w:val="-2"/>
                <w:sz w:val="20"/>
              </w:rPr>
              <w:t>Policy.</w:t>
            </w:r>
          </w:p>
        </w:tc>
      </w:tr>
    </w:tbl>
    <w:p>
      <w:pPr>
        <w:pStyle w:val="TextBody"/>
        <w:bidi w:val="0"/>
        <w:spacing w:before="0" w:after="0"/>
        <w:jc w:val="center"/>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2301"/>
        <w:gridCol w:w="102"/>
        <w:gridCol w:w="75"/>
      </w:tblGrid>
      <w:tr>
        <w:trPr/>
        <w:tc>
          <w:tcPr>
            <w:tcW w:w="2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signing:</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Please sign </w:t>
            </w:r>
            <w:r>
              <w:rPr>
                <w:rFonts w:ascii="Times New Roman;Times;Serif" w:hAnsi="Times New Roman;Times;Serif"/>
                <w:spacing w:val="-2"/>
                <w:sz w:val="20"/>
              </w:rPr>
              <w:t>below:</w:t>
            </w:r>
          </w:p>
        </w:tc>
        <w:tc>
          <w:tcPr>
            <w:tcW w:w="75" w:type="dxa"/>
            <w:tcBorders/>
            <w:vAlign w:val="center"/>
          </w:tcPr>
          <w:p>
            <w:pPr>
              <w:pStyle w:val="TableContents"/>
              <w:bidi w:val="0"/>
              <w:spacing w:before="0" w:after="283"/>
              <w:jc w:val="left"/>
              <w:rPr/>
            </w:pPr>
            <w:r>
              <w:rPr/>
              <w:t> </w:t>
            </w:r>
          </w:p>
        </w:tc>
      </w:tr>
      <w:tr>
        <w:trPr/>
        <w:tc>
          <w:tcPr>
            <w:tcW w:w="240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03"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03"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Please print your name </w:t>
            </w:r>
            <w:r>
              <w:rPr>
                <w:rFonts w:ascii="Times New Roman;Times;Serif" w:hAnsi="Times New Roman;Times;Serif"/>
                <w:spacing w:val="-4"/>
                <w:sz w:val="20"/>
              </w:rPr>
              <w:t>above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center"/>
        <w:rPr/>
      </w:pPr>
      <w:bookmarkStart w:id="1050" w:name="ex97-1.htm"/>
      <w:bookmarkStart w:id="1051" w:name="ksex971"/>
      <w:bookmarkEnd w:id="1050"/>
      <w:bookmarkEnd w:id="105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Ten-League International Holdings </w:t>
      </w:r>
      <w:r>
        <w:rPr>
          <w:rFonts w:ascii="Times New Roman;Times;Serif" w:hAnsi="Times New Roman;Times;Serif"/>
          <w:b/>
          <w:i w:val="false"/>
          <w:caps w:val="false"/>
          <w:smallCaps w:val="false"/>
          <w:spacing w:val="-2"/>
          <w:sz w:val="20"/>
        </w:rPr>
        <w:t>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Ten-League International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adopted this policy (this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to provide for the recoupment of certain executive compensation in the event of an accounting restatement resulting from material noncompliance with financial reporting requirements under the federal securities laws. This Policy is designed to comply with Section 10D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Nasdaq Listing Rule 5608 (the “</w:t>
      </w:r>
      <w:r>
        <w:rPr>
          <w:rFonts w:ascii="Times New Roman;Times;Serif" w:hAnsi="Times New Roman;Times;Serif"/>
          <w:b/>
          <w:i w:val="false"/>
          <w:caps w:val="false"/>
          <w:smallCaps w:val="false"/>
          <w:sz w:val="20"/>
        </w:rPr>
        <w:t>Clawback Listing Standards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Administration</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Covered </w:t>
      </w:r>
      <w:r>
        <w:rPr>
          <w:rFonts w:ascii="Times New Roman;Times;Serif" w:hAnsi="Times New Roman;Times;Serif"/>
          <w:b/>
          <w:i w:val="false"/>
          <w:caps w:val="false"/>
          <w:smallCaps w:val="false"/>
          <w:spacing w:val="-2"/>
          <w:sz w:val="20"/>
          <w:u w:val="single"/>
        </w:rPr>
        <w:t>Executives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the definition in Section 10D of the Exchange Act and the Clawback Listing Standards (the “Covered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Recoupment; Accounting </w:t>
      </w:r>
      <w:r>
        <w:rPr>
          <w:rFonts w:ascii="Times New Roman;Times;Serif" w:hAnsi="Times New Roman;Times;Serif"/>
          <w:b/>
          <w:i w:val="false"/>
          <w:caps w:val="false"/>
          <w:smallCaps w:val="false"/>
          <w:spacing w:val="-2"/>
          <w:sz w:val="20"/>
          <w:u w:val="single"/>
        </w:rPr>
        <w:t>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Incentive </w:t>
      </w:r>
      <w:r>
        <w:rPr>
          <w:rFonts w:ascii="Times New Roman;Times;Serif" w:hAnsi="Times New Roman;Times;Serif"/>
          <w:b/>
          <w:i w:val="false"/>
          <w:caps w:val="false"/>
          <w:smallCaps w:val="false"/>
          <w:spacing w:val="-2"/>
          <w:sz w:val="20"/>
          <w:u w:val="single"/>
        </w:rPr>
        <w:t>Compensation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before="0" w:after="0"/>
        <w:ind w:left="0" w:right="0" w:hanging="0"/>
        <w:jc w:val="both"/>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75"/>
        <w:gridCol w:w="170"/>
        <w:gridCol w:w="5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Annual bonuses and other short- and long-term cash </w:t>
            </w:r>
            <w:r>
              <w:rPr>
                <w:rFonts w:ascii="Times New Roman;Times;Serif" w:hAnsi="Times New Roman;Times;Serif"/>
                <w:spacing w:val="-2"/>
                <w:sz w:val="20"/>
              </w:rPr>
              <w:t>incentives.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Stock </w:t>
            </w:r>
            <w:r>
              <w:rPr>
                <w:rFonts w:ascii="Times New Roman;Times;Serif" w:hAnsi="Times New Roman;Times;Serif"/>
                <w:spacing w:val="-2"/>
                <w:sz w:val="20"/>
              </w:rPr>
              <w:t>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Stock appreciation </w:t>
            </w:r>
            <w:r>
              <w:rPr>
                <w:rFonts w:ascii="Times New Roman;Times;Serif" w:hAnsi="Times New Roman;Times;Serif"/>
                <w:spacing w:val="-2"/>
                <w:sz w:val="20"/>
              </w:rPr>
              <w:t>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Restricted </w:t>
            </w:r>
            <w:r>
              <w:rPr>
                <w:rFonts w:ascii="Times New Roman;Times;Serif" w:hAnsi="Times New Roman;Times;Serif"/>
                <w:spacing w:val="-2"/>
                <w:sz w:val="20"/>
              </w:rPr>
              <w:t>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Restricted stock </w:t>
            </w:r>
            <w:r>
              <w:rPr>
                <w:rFonts w:ascii="Times New Roman;Times;Serif" w:hAnsi="Times New Roman;Times;Serif"/>
                <w:spacing w:val="-2"/>
                <w:sz w:val="20"/>
              </w:rPr>
              <w:t>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Performance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Performance units.</w:t>
            </w:r>
          </w:p>
        </w:tc>
      </w:tr>
    </w:tbl>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reporting measures </w:t>
      </w:r>
      <w:r>
        <w:rPr>
          <w:rFonts w:ascii="Times New Roman;Times;Serif" w:hAnsi="Times New Roman;Times;Serif"/>
          <w:b w:val="false"/>
          <w:i w:val="false"/>
          <w:caps w:val="false"/>
          <w:smallCaps w:val="false"/>
          <w:spacing w:val="-2"/>
          <w:sz w:val="20"/>
        </w:rPr>
        <w:t>include:</w:t>
      </w:r>
    </w:p>
    <w:p>
      <w:pPr>
        <w:pStyle w:val="TextBody"/>
        <w:bidi w:val="0"/>
        <w:spacing w:before="0" w:after="0"/>
        <w:jc w:val="center"/>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75"/>
        <w:gridCol w:w="170"/>
        <w:gridCol w:w="564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Revenues.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w:t>
            </w:r>
            <w:r>
              <w:rPr>
                <w:rFonts w:ascii="Times New Roman;Times;Serif" w:hAnsi="Times New Roman;Times;Serif"/>
                <w:spacing w:val="-2"/>
                <w:sz w:val="20"/>
              </w:rPr>
              <w:t>income.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Earnings before interest, taxes, depreciation, and </w:t>
            </w:r>
            <w:r>
              <w:rPr>
                <w:rFonts w:ascii="Times New Roman;Times;Serif" w:hAnsi="Times New Roman;Times;Serif"/>
                <w:spacing w:val="-2"/>
                <w:sz w:val="20"/>
              </w:rPr>
              <w:t>amortization.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Liquidity measures such as working capital or operating cash </w:t>
            </w:r>
            <w:r>
              <w:rPr>
                <w:rFonts w:ascii="Times New Roman;Times;Serif" w:hAnsi="Times New Roman;Times;Serif"/>
                <w:spacing w:val="-2"/>
                <w:sz w:val="20"/>
              </w:rPr>
              <w:t>flow.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Return measures such as return on invested capital or return on </w:t>
            </w:r>
            <w:r>
              <w:rPr>
                <w:rFonts w:ascii="Times New Roman;Times;Serif" w:hAnsi="Times New Roman;Times;Serif"/>
                <w:spacing w:val="-2"/>
                <w:sz w:val="20"/>
              </w:rPr>
              <w:t>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Earnings measures such as earnings per </w:t>
            </w:r>
            <w:r>
              <w:rPr>
                <w:rFonts w:ascii="Times New Roman;Times;Serif" w:hAnsi="Times New Roman;Times;Serif"/>
                <w:spacing w:val="-2"/>
                <w:sz w:val="20"/>
              </w:rPr>
              <w:t>share.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Excess Incentive Compensation: Amount Subject to </w:t>
      </w:r>
      <w:r>
        <w:rPr>
          <w:rFonts w:ascii="Times New Roman;Times;Serif" w:hAnsi="Times New Roman;Times;Serif"/>
          <w:b/>
          <w:i w:val="false"/>
          <w:caps w:val="false"/>
          <w:smallCaps w:val="false"/>
          <w:spacing w:val="-2"/>
          <w:sz w:val="20"/>
          <w:u w:val="single"/>
        </w:rPr>
        <w:t>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without regard to any taxes paid by the Covered Executive in respect of the Incentive Compensation paid based on the erroneous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Method of </w:t>
      </w:r>
      <w:r>
        <w:rPr>
          <w:rFonts w:ascii="Times New Roman;Times;Serif" w:hAnsi="Times New Roman;Times;Serif"/>
          <w:b/>
          <w:i w:val="false"/>
          <w:caps w:val="false"/>
          <w:smallCaps w:val="false"/>
          <w:spacing w:val="-2"/>
          <w:sz w:val="20"/>
          <w:u w:val="single"/>
        </w:rPr>
        <w:t>Recoupment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in its sole discretion, the method for recouping Incentive Compensation hereunder which may include,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(a)</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requiring reimbursement of cash Incentive Compensation previously </w:t>
            </w:r>
            <w:r>
              <w:rPr>
                <w:rFonts w:ascii="Times New Roman;Times;Serif" w:hAnsi="Times New Roman;Times;Serif"/>
                <w:spacing w:val="-2"/>
                <w:sz w:val="20"/>
              </w:rPr>
              <w:t>paid;</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(b)</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seeking recovery of any gain realized on the vesting, exercise, settlement, sale, transfer, or other disposition of any equity-based awards;</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(c)</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offsetting the recouped amount from any compensation otherwise owed by the Company to the Covered Executive;</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(d)</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cancelling outstanding vested or unvested equity awards; </w:t>
            </w:r>
            <w:r>
              <w:rPr>
                <w:rFonts w:ascii="Times New Roman;Times;Serif" w:hAnsi="Times New Roman;Times;Serif"/>
                <w:spacing w:val="-5"/>
                <w:sz w:val="20"/>
              </w:rPr>
              <w:t>and</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(e)</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taking any other remedial and recovery action permitted by law, as determined by the </w:t>
            </w:r>
            <w:r>
              <w:rPr>
                <w:rFonts w:ascii="Times New Roman;Times;Serif" w:hAnsi="Times New Roman;Times;Serif"/>
                <w:spacing w:val="-2"/>
                <w:sz w:val="20"/>
              </w:rPr>
              <w:t>Board.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 </w:t>
      </w:r>
      <w:r>
        <w:rPr>
          <w:rFonts w:ascii="Times New Roman;Times;Serif" w:hAnsi="Times New Roman;Times;Serif"/>
          <w:b/>
          <w:i w:val="false"/>
          <w:caps w:val="false"/>
          <w:smallCaps w:val="false"/>
          <w:spacing w:val="-2"/>
          <w:sz w:val="20"/>
          <w:u w:val="single"/>
        </w:rPr>
        <w:t>Indemnification</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Interpretation</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w:t>
      </w:r>
      <w:r>
        <w:rPr>
          <w:rFonts w:ascii="Times New Roman;Times;Serif" w:hAnsi="Times New Roman;Times;Serif"/>
          <w:b w:val="false"/>
          <w:i w:val="false"/>
          <w:caps w:val="false"/>
          <w:smallCaps w:val="false"/>
          <w:spacing w:val="-5"/>
          <w:sz w:val="20"/>
        </w:rPr>
        <w:t xml:space="preserve">the </w:t>
      </w:r>
      <w:r>
        <w:rPr>
          <w:rFonts w:ascii="Times New Roman;Times;Serif" w:hAnsi="Times New Roman;Times;Serif"/>
          <w:b w:val="false"/>
          <w:i w:val="false"/>
          <w:caps w:val="false"/>
          <w:smallCaps w:val="false"/>
          <w:sz w:val="20"/>
        </w:rPr>
        <w:t>Exchange Act, any applicable rules or standards adopted by the Securities and Exchange Commission, and the Clawback Listing Standards.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Effective </w:t>
      </w:r>
      <w:r>
        <w:rPr>
          <w:rFonts w:ascii="Times New Roman;Times;Serif" w:hAnsi="Times New Roman;Times;Serif"/>
          <w:b/>
          <w:i w:val="false"/>
          <w:caps w:val="false"/>
          <w:smallCaps w:val="false"/>
          <w:spacing w:val="-4"/>
          <w:sz w:val="20"/>
          <w:u w:val="single"/>
        </w:rPr>
        <w:t>Date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October 1, 2023 (the “Effective Date”) and shall apply to Incentive Compensation that is received by Covered Executives on or after the Effective Date, even if such Incentive Compensation was approved, awarded, or granted to Covered Executives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Amendment; </w:t>
      </w:r>
      <w:r>
        <w:rPr>
          <w:rFonts w:ascii="Times New Roman;Times;Serif" w:hAnsi="Times New Roman;Times;Serif"/>
          <w:b/>
          <w:i w:val="false"/>
          <w:caps w:val="false"/>
          <w:smallCaps w:val="false"/>
          <w:spacing w:val="-2"/>
          <w:sz w:val="20"/>
          <w:u w:val="single"/>
        </w:rPr>
        <w:t>Termination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Other Recoupment </w:t>
      </w:r>
      <w:r>
        <w:rPr>
          <w:rFonts w:ascii="Times New Roman;Times;Serif" w:hAnsi="Times New Roman;Times;Serif"/>
          <w:b/>
          <w:i w:val="false"/>
          <w:caps w:val="false"/>
          <w:smallCaps w:val="false"/>
          <w:spacing w:val="-2"/>
          <w:sz w:val="20"/>
          <w:u w:val="single"/>
        </w:rPr>
        <w:t>Rights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Relationship to Other Plans and </w:t>
      </w:r>
      <w:r>
        <w:rPr>
          <w:rFonts w:ascii="Times New Roman;Times;Serif" w:hAnsi="Times New Roman;Times;Serif"/>
          <w:b/>
          <w:i w:val="false"/>
          <w:caps w:val="false"/>
          <w:smallCaps w:val="false"/>
          <w:spacing w:val="-2"/>
          <w:sz w:val="20"/>
          <w:u w:val="single"/>
        </w:rPr>
        <w:t>Agreements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Acknowledgment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Covered Executives shall sign an acknowledgment form in which they acknowledge that they have read and understand the terms of the Policy and are bound by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Impracticability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Successors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82012/000149315224041472/ex3-2.htm" TargetMode="External"/><Relationship Id="rId4" Type="http://schemas.openxmlformats.org/officeDocument/2006/relationships/hyperlink" Target="https://www.sec.gov/Archives/edgar/data/1982012/000149315224007666/ex4-1.htm" TargetMode="External"/><Relationship Id="rId5" Type="http://schemas.openxmlformats.org/officeDocument/2006/relationships/hyperlink" Target="https://www.sec.gov/Archives/edgar/data/1982012/000149315223041885/ex10-1.htm" TargetMode="External"/><Relationship Id="rId6" Type="http://schemas.openxmlformats.org/officeDocument/2006/relationships/hyperlink" Target="https://www.sec.gov/Archives/edgar/data/1982012/000149315223046027/ex10-2.htm" TargetMode="External"/><Relationship Id="rId7" Type="http://schemas.openxmlformats.org/officeDocument/2006/relationships/hyperlink" Target="https://www.sec.gov/Archives/edgar/data/1982012/000149315223038923/ex10-7.htm" TargetMode="External"/><Relationship Id="rId8" Type="http://schemas.openxmlformats.org/officeDocument/2006/relationships/hyperlink" Target="https://www.sec.gov/Archives/edgar/data/1982012/000149315223038923/ex10-7.htm" TargetMode="External"/><Relationship Id="rId9" Type="http://schemas.openxmlformats.org/officeDocument/2006/relationships/hyperlink" Target="https://www.sec.gov/Archives/edgar/data/1982012/000149315223038923/ex21-1.htm" TargetMode="External"/><Relationship Id="rId10" Type="http://schemas.openxmlformats.org/officeDocument/2006/relationships/hyperlink" Target="https://www.sec.gov/Archives/edgar/data/1982012/000149315223046027/ex14-1.htm" TargetMode="External"/><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73637</Words>
  <Characters>398152</Characters>
  <CharactersWithSpaces>476775</CharactersWithSpaces>
  <Paragraphs>14148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